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Приложение 6</w:t>
      </w:r>
    </w:p>
    <w:p w:rsidR="00BE49A9" w:rsidRPr="00BE49A9" w:rsidRDefault="00BE49A9" w:rsidP="00BE49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</w:rPr>
      </w:pPr>
    </w:p>
    <w:p w:rsidR="00BE49A9" w:rsidRPr="00BE49A9" w:rsidRDefault="00BE49A9" w:rsidP="006B0D54">
      <w:pPr>
        <w:pStyle w:val="19"/>
      </w:pPr>
      <w:r w:rsidRPr="00BE49A9">
        <w:t>КОНЦЕССИОННОЕ СОГЛАШЕНИЕ</w:t>
      </w: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 w:rsidR="008430E7">
        <w:rPr>
          <w:rFonts w:ascii="Times New Roman" w:hAnsi="Times New Roman"/>
          <w:sz w:val="22"/>
          <w:szCs w:val="22"/>
        </w:rPr>
        <w:t>________» ________________</w:t>
      </w: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>», в лице главы администрации района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Владислава </w:t>
      </w:r>
      <w:proofErr w:type="spellStart"/>
      <w:r w:rsidRPr="00BE49A9">
        <w:rPr>
          <w:rFonts w:ascii="Times New Roman" w:hAnsi="Times New Roman"/>
          <w:sz w:val="24"/>
          <w:szCs w:val="24"/>
        </w:rPr>
        <w:t>Гильмановича</w:t>
      </w:r>
      <w:proofErr w:type="spellEnd"/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к</w:t>
      </w:r>
      <w:r w:rsidR="00AA2855"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 о нижеследующем: </w:t>
      </w:r>
    </w:p>
    <w:p w:rsidR="00BE49A9" w:rsidRPr="00BE49A9" w:rsidRDefault="00BE49A9" w:rsidP="00BE49A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AA2855" w:rsidRDefault="00BE49A9" w:rsidP="008758AA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0" w:name="o1_1"/>
      <w:bookmarkEnd w:id="0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 w:rsidR="00AA2855"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 w:rsidR="00AA2855"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BE49A9" w:rsidRPr="00BE49A9" w:rsidRDefault="00AA2855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BE49A9" w:rsidRPr="00BE49A9">
        <w:rPr>
          <w:sz w:val="24"/>
          <w:szCs w:val="24"/>
          <w:lang w:val="ru-RU"/>
        </w:rPr>
        <w:t xml:space="preserve">Объектом Соглашения </w:t>
      </w:r>
      <w:r w:rsidR="00BE49A9"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="00BE49A9" w:rsidRPr="00BE49A9">
        <w:rPr>
          <w:iCs/>
          <w:sz w:val="24"/>
          <w:szCs w:val="24"/>
          <w:lang w:val="ru-RU"/>
        </w:rPr>
        <w:t xml:space="preserve"> </w:t>
      </w:r>
      <w:r w:rsidR="00BE49A9" w:rsidRPr="00BE49A9">
        <w:rPr>
          <w:iCs/>
          <w:sz w:val="24"/>
          <w:szCs w:val="24"/>
        </w:rPr>
        <w:t>в собственности муниципального образования</w:t>
      </w:r>
      <w:r w:rsidR="00BE49A9"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="00BE49A9" w:rsidRPr="00BE49A9">
        <w:rPr>
          <w:sz w:val="24"/>
          <w:szCs w:val="24"/>
          <w:lang w:val="ru-RU"/>
        </w:rPr>
        <w:t xml:space="preserve">).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 w:rsidR="00AA2855"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 w:rsidR="00AA2855"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 w:rsidR="00AA2855"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1" w:name="_Toc323145436"/>
    </w:p>
    <w:bookmarkEnd w:id="1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AA2855" w:rsidRDefault="00BE49A9" w:rsidP="008758AA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o3"/>
      <w:bookmarkStart w:id="3" w:name="_Toc323145437"/>
      <w:bookmarkEnd w:id="2"/>
      <w:r w:rsidRPr="00AA2855">
        <w:rPr>
          <w:rFonts w:ascii="Times New Roman" w:hAnsi="Times New Roman"/>
          <w:b w:val="0"/>
          <w:sz w:val="24"/>
          <w:szCs w:val="24"/>
        </w:rPr>
        <w:lastRenderedPageBreak/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"/>
    </w:p>
    <w:p w:rsidR="00BE49A9" w:rsidRPr="00BE49A9" w:rsidRDefault="00BE49A9" w:rsidP="008758AA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4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4"/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 w:rsidR="00AA2855"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5" w:name="o3_2"/>
      <w:bookmarkEnd w:id="5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6" w:name="o3_2_9abz"/>
      <w:bookmarkEnd w:id="6"/>
      <w:r w:rsidRPr="00BE49A9">
        <w:rPr>
          <w:rFonts w:ascii="Times New Roman" w:hAnsi="Times New Roman"/>
          <w:sz w:val="24"/>
          <w:szCs w:val="24"/>
        </w:rPr>
        <w:t>3.6. В случае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 w:rsidR="00AA2855">
        <w:rPr>
          <w:rFonts w:ascii="Times New Roman" w:hAnsi="Times New Roman"/>
          <w:sz w:val="24"/>
          <w:szCs w:val="24"/>
        </w:rPr>
        <w:t>ва, предусмотренный приложением</w:t>
      </w:r>
      <w:r w:rsidRPr="00BE49A9">
        <w:rPr>
          <w:rFonts w:ascii="Times New Roman" w:hAnsi="Times New Roman"/>
          <w:sz w:val="24"/>
          <w:szCs w:val="24"/>
        </w:rPr>
        <w:t xml:space="preserve"> 1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o3_3"/>
      <w:bookmarkEnd w:id="7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BE49A9" w:rsidRPr="00BE49A9" w:rsidRDefault="00BE49A9" w:rsidP="00AA285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 w:rsidR="00AA2855"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 w:rsidR="00AA2855">
        <w:rPr>
          <w:rFonts w:ascii="Times New Roman" w:hAnsi="Times New Roman"/>
          <w:sz w:val="24"/>
          <w:szCs w:val="24"/>
        </w:rPr>
        <w:t>и</w:t>
      </w:r>
      <w:proofErr w:type="gramStart"/>
      <w:r w:rsidR="00AA285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A2855"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8" w:name="o3_4"/>
      <w:bookmarkStart w:id="9" w:name="o3_6"/>
      <w:bookmarkEnd w:id="8"/>
      <w:bookmarkEnd w:id="9"/>
    </w:p>
    <w:p w:rsidR="00BE49A9" w:rsidRPr="00AA2855" w:rsidRDefault="00BE49A9" w:rsidP="008758AA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10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10"/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 w:rsidR="00AA2855"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Перечень объектов и характеристики, которым должен отвечать Объект Соглашения после осуществления работ по реконструкции, указаны в приложении 2</w:t>
      </w:r>
      <w:r w:rsidR="00AA2855"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 w:rsidR="00AA2855"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 w:rsidR="00AA2855"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11" w:name="o4_2"/>
      <w:bookmarkEnd w:id="11"/>
    </w:p>
    <w:p w:rsidR="00BE49A9" w:rsidRPr="00BE49A9" w:rsidRDefault="00BE49A9" w:rsidP="008758AA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o4_3"/>
      <w:bookmarkEnd w:id="12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13" w:name="OLE_LINK2"/>
      <w:r w:rsidRPr="00BE49A9">
        <w:rPr>
          <w:sz w:val="24"/>
          <w:szCs w:val="24"/>
          <w:lang w:val="ru-RU"/>
        </w:rPr>
        <w:t>Государственная регистрация указанных в настоящем пункте прав, осуществляется за счет Концессионера.</w:t>
      </w:r>
    </w:p>
    <w:p w:rsidR="00BE49A9" w:rsidRPr="00BE49A9" w:rsidRDefault="00BE49A9" w:rsidP="008758AA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14" w:name="o4_4"/>
      <w:bookmarkEnd w:id="13"/>
      <w:bookmarkEnd w:id="14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эксплуатационных свойств имущества, в соответствии с инвестиционными программами Концессионера. </w:t>
      </w:r>
    </w:p>
    <w:p w:rsidR="00BE49A9" w:rsidRPr="00BE49A9" w:rsidRDefault="00BE49A9" w:rsidP="00AA2855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15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o4_7"/>
      <w:bookmarkEnd w:id="16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 w:rsidR="00AA2855"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17" w:name="o4_9"/>
      <w:bookmarkStart w:id="18" w:name="o4_10"/>
      <w:bookmarkEnd w:id="17"/>
      <w:bookmarkEnd w:id="18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AA2855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 w:rsidR="00AA2855"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 w:rsidR="00AA2855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 w:rsidR="00AA2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AA2855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o4_13"/>
      <w:bookmarkEnd w:id="19"/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</w:t>
      </w:r>
      <w:r w:rsidR="00AA2855">
        <w:rPr>
          <w:rFonts w:ascii="Times New Roman" w:hAnsi="Times New Roman"/>
          <w:sz w:val="24"/>
          <w:szCs w:val="24"/>
        </w:rPr>
        <w:t>2</w:t>
      </w:r>
      <w:r w:rsidRPr="00BE49A9">
        <w:rPr>
          <w:rFonts w:ascii="Times New Roman" w:hAnsi="Times New Roman"/>
          <w:sz w:val="24"/>
          <w:szCs w:val="24"/>
        </w:rPr>
        <w:t xml:space="preserve"> к Соглашению в порядке, установленном законодательством Российской Федерации, </w:t>
      </w:r>
      <w:r w:rsidR="00AA2855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 xml:space="preserve">в срок до сентября 2016 года.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0" w:name="o4_14"/>
      <w:bookmarkStart w:id="21" w:name="o4_15"/>
      <w:bookmarkEnd w:id="20"/>
      <w:bookmarkEnd w:id="21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осуществляемых в течение всего срока действия Соглашения Концессионером, равен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bCs/>
          <w:iCs/>
          <w:sz w:val="24"/>
          <w:szCs w:val="18"/>
        </w:rPr>
        <w:t>35 863 934</w:t>
      </w:r>
      <w:r w:rsidRPr="00BE49A9">
        <w:rPr>
          <w:rFonts w:ascii="Times New Roman" w:hAnsi="Times New Roman"/>
          <w:sz w:val="24"/>
          <w:szCs w:val="24"/>
        </w:rPr>
        <w:t xml:space="preserve"> (тридцать пять миллионов восемьсот шестьдесят три тысячи девятьсот тридцать четыре) рубля</w:t>
      </w:r>
      <w:r w:rsidRPr="00BE49A9">
        <w:rPr>
          <w:rFonts w:ascii="Times New Roman" w:hAnsi="Times New Roman"/>
          <w:i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 w:rsidR="00AA2855"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 w:rsidR="00AA2855"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2" w:name="o4_17"/>
      <w:bookmarkEnd w:id="22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BE49A9" w:rsidRPr="00BE49A9" w:rsidRDefault="00BE49A9" w:rsidP="00BE49A9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3" w:name="_Toc323145439"/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23"/>
      <w:r w:rsidRPr="000B472C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4" w:name="o5_1"/>
      <w:bookmarkEnd w:id="24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Деятельности</w:t>
      </w:r>
      <w:bookmarkStart w:id="25" w:name="o5_1a"/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25"/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 w:rsidR="00AA2855"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Деятельности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реконструкции объектов соглашения и для осуществления деятельности, предусмотренной </w:t>
      </w:r>
      <w:r w:rsidR="00AA2855"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AA2855" w:rsidRPr="00BE49A9" w:rsidRDefault="00AA2855" w:rsidP="00AA2855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26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26"/>
    </w:p>
    <w:p w:rsidR="00BE49A9" w:rsidRPr="00BE49A9" w:rsidRDefault="00BE49A9" w:rsidP="008758AA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Соглашения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 w:rsidR="00AA2855"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Соглашения              в установленном Соглашением порядке в целях осуществления Концессионной Деятельности.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 w:rsidR="00AA2855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27" w:name="o6_4"/>
      <w:bookmarkEnd w:id="27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Соглашения    не допускается.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Соглашения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   к Объекту Соглашения,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AA285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переданного в качестве Объекта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AA2855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                и/или движимое имущество, созданное исключительно для целей эксплуатации системы теплоснабжения, передается в соб</w:t>
      </w:r>
      <w:r w:rsidR="00AA2855"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 w:rsidR="00AA285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AA2855"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28" w:name="o6_15"/>
      <w:bookmarkEnd w:id="28"/>
      <w:r w:rsidRPr="00BE49A9">
        <w:rPr>
          <w:rFonts w:ascii="Times New Roman" w:hAnsi="Times New Roman"/>
          <w:sz w:val="24"/>
          <w:szCs w:val="24"/>
        </w:rPr>
        <w:t>Концессионер обязан учитывать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Риск случайной гибели или случайного повреждения объектов, входящих 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Соглашения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29" w:name="o6_18"/>
      <w:bookmarkEnd w:id="29"/>
      <w:r w:rsidRPr="00BE49A9">
        <w:rPr>
          <w:rFonts w:ascii="Times New Roman" w:hAnsi="Times New Roman"/>
          <w:sz w:val="24"/>
          <w:szCs w:val="24"/>
        </w:rPr>
        <w:t>Концессионер обязан заключить со страховой компанией договор страхования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свою пользу. Выгодоприобретателем                    по таким договорам страхования будет являться Концессионер.</w:t>
      </w:r>
      <w:bookmarkStart w:id="30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BE49A9" w:rsidRPr="00BE49A9" w:rsidRDefault="00BE49A9" w:rsidP="00BE49A9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1" w:name="o7_1"/>
      <w:bookmarkEnd w:id="30"/>
      <w:bookmarkEnd w:id="31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Передаваемый Концессионером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Деятельности, и не должны быть обременены правами третьих лиц.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2" w:name="o7_2"/>
      <w:bookmarkEnd w:id="32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 w:rsidR="000B472C"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" w:name="o7_5"/>
      <w:r w:rsidRPr="00BE49A9">
        <w:rPr>
          <w:rFonts w:ascii="Times New Roman" w:hAnsi="Times New Roman"/>
          <w:sz w:val="24"/>
          <w:szCs w:val="24"/>
        </w:rPr>
        <w:t>Обязанность Концессионера по передаче 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3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6F0ED7">
        <w:rPr>
          <w:rFonts w:ascii="Times New Roman" w:hAnsi="Times New Roman"/>
          <w:sz w:val="24"/>
          <w:szCs w:val="24"/>
        </w:rPr>
        <w:t>ма – 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 w:rsidR="006F0ED7"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Если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находятся в состоянии,                 не пригодном для осуществления Концессионной Деятельности, либо</w:t>
      </w:r>
      <w:r w:rsidR="006F0ED7"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Соглашения и Иного имущества в состояние, пригодное для осуществления Концессионной Деятельности,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</w:t>
      </w:r>
      <w:r w:rsidRPr="00BE49A9">
        <w:rPr>
          <w:rFonts w:ascii="Times New Roman" w:hAnsi="Times New Roman"/>
          <w:sz w:val="24"/>
          <w:szCs w:val="24"/>
        </w:rPr>
        <w:lastRenderedPageBreak/>
        <w:t>не считается необоснованно уклоняющимся от подписания акта приема-передачи имущества.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o7_6"/>
      <w:bookmarkEnd w:id="34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Соглашения                   и (или) Иного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 w:rsidR="006F0ED7"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приведет             к нарушению параметров оказываемых Концессионером услуг и несоответствию плану – графику достижения критериев Конкурса.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5" w:name="_Toc323145442"/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0B472C" w:rsidRDefault="00BE49A9" w:rsidP="008758AA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5"/>
      <w:r w:rsidRPr="000B472C">
        <w:rPr>
          <w:rFonts w:ascii="Times New Roman" w:hAnsi="Times New Roman"/>
          <w:sz w:val="24"/>
          <w:szCs w:val="24"/>
        </w:rPr>
        <w:t xml:space="preserve">деятельности, предусмотренной </w:t>
      </w:r>
      <w:r w:rsidR="006F0ED7" w:rsidRPr="000B472C">
        <w:rPr>
          <w:rFonts w:ascii="Times New Roman" w:hAnsi="Times New Roman"/>
          <w:sz w:val="24"/>
          <w:szCs w:val="24"/>
        </w:rPr>
        <w:t>К</w:t>
      </w:r>
      <w:r w:rsidRPr="000B472C">
        <w:rPr>
          <w:rFonts w:ascii="Times New Roman" w:hAnsi="Times New Roman"/>
          <w:sz w:val="24"/>
          <w:szCs w:val="24"/>
        </w:rPr>
        <w:t>онцессионным соглашением</w:t>
      </w:r>
      <w:bookmarkStart w:id="36" w:name="o8_1"/>
      <w:bookmarkEnd w:id="36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 w:rsidR="006F0ED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" w:name="o8_2"/>
      <w:bookmarkEnd w:id="37"/>
      <w:r w:rsidRPr="00BE49A9">
        <w:rPr>
          <w:rFonts w:ascii="Times New Roman" w:hAnsi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" w:name="o8_3"/>
      <w:bookmarkEnd w:id="38"/>
      <w:r w:rsidRPr="00BE49A9">
        <w:rPr>
          <w:rFonts w:ascii="Times New Roman" w:hAnsi="Times New Roman"/>
          <w:sz w:val="24"/>
          <w:szCs w:val="24"/>
        </w:rPr>
        <w:t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Соглаше</w:t>
      </w:r>
      <w:r w:rsidR="006F0ED7">
        <w:rPr>
          <w:rFonts w:ascii="Times New Roman" w:hAnsi="Times New Roman"/>
          <w:sz w:val="24"/>
          <w:szCs w:val="24"/>
        </w:rPr>
        <w:t>ния и</w:t>
      </w:r>
      <w:proofErr w:type="gramStart"/>
      <w:r w:rsidR="006F0ED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F0ED7"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 w:rsidR="006F0ED7"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Подключаемые по свободным договорам и не 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BE49A9" w:rsidRPr="00BE49A9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="00BE49A9"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6F0ED7" w:rsidRDefault="006F0ED7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9" w:name="o8_5"/>
      <w:bookmarkEnd w:id="39"/>
      <w:r w:rsidRPr="006F0ED7">
        <w:rPr>
          <w:rFonts w:ascii="Times New Roman" w:hAnsi="Times New Roman"/>
          <w:sz w:val="24"/>
          <w:szCs w:val="24"/>
        </w:rPr>
        <w:lastRenderedPageBreak/>
        <w:t>Концессионер обязуе</w:t>
      </w:r>
      <w:r w:rsidR="00BE49A9" w:rsidRPr="006F0ED7">
        <w:rPr>
          <w:rFonts w:ascii="Times New Roman" w:hAnsi="Times New Roman"/>
          <w:sz w:val="24"/>
          <w:szCs w:val="24"/>
        </w:rPr>
        <w:t>тся обеспеч</w:t>
      </w:r>
      <w:r w:rsidRPr="006F0ED7">
        <w:rPr>
          <w:rFonts w:ascii="Times New Roman" w:hAnsi="Times New Roman"/>
          <w:sz w:val="24"/>
          <w:szCs w:val="24"/>
        </w:rPr>
        <w:t>ить достижение плановых значений</w:t>
      </w:r>
      <w:r w:rsidR="00BE49A9" w:rsidRPr="006F0ED7">
        <w:rPr>
          <w:rFonts w:ascii="Times New Roman" w:hAnsi="Times New Roman"/>
          <w:sz w:val="24"/>
          <w:szCs w:val="24"/>
        </w:rPr>
        <w:t xml:space="preserve"> показ</w:t>
      </w:r>
      <w:r w:rsidRPr="006F0ED7">
        <w:rPr>
          <w:rFonts w:ascii="Times New Roman" w:hAnsi="Times New Roman"/>
          <w:sz w:val="24"/>
          <w:szCs w:val="24"/>
        </w:rPr>
        <w:t>ателей, указанных в Конкурсной д</w:t>
      </w:r>
      <w:r w:rsidR="00BE49A9" w:rsidRPr="006F0ED7">
        <w:rPr>
          <w:rFonts w:ascii="Times New Roman" w:hAnsi="Times New Roman"/>
          <w:sz w:val="24"/>
          <w:szCs w:val="24"/>
        </w:rPr>
        <w:t>окументации</w:t>
      </w:r>
      <w:r w:rsidRPr="006F0ED7"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="00BE49A9"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="00BE49A9"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="00BE49A9" w:rsidRPr="006F0ED7">
        <w:rPr>
          <w:rFonts w:ascii="Times New Roman" w:hAnsi="Times New Roman"/>
          <w:sz w:val="24"/>
          <w:szCs w:val="24"/>
        </w:rPr>
        <w:t>.</w:t>
      </w:r>
      <w:r w:rsidR="00BE49A9"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E49A9"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="00BE49A9"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="00BE49A9"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="00BE49A9"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40" w:name="o8_6"/>
      <w:bookmarkEnd w:id="40"/>
      <w:r w:rsidR="00D2190A" w:rsidRPr="00D2190A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D2190A" w:rsidRPr="00D2190A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D2190A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BE49A9" w:rsidRPr="006F0ED7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 w:rsidR="006F0ED7">
        <w:rPr>
          <w:rFonts w:ascii="Times New Roman" w:hAnsi="Times New Roman"/>
          <w:sz w:val="24"/>
          <w:szCs w:val="24"/>
        </w:rPr>
        <w:t>лять Концессионную Деятельность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Соглашения, указанным в разделе 9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1" w:name="o8_7"/>
      <w:bookmarkEnd w:id="41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Обслуживания, договор теплоснабжения.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имеет право реализовывать проекты по оборудованию жилых домов, иных зданий и сооружений в пределах Зоны Обслуживания индивидуальны</w:t>
      </w:r>
      <w:r w:rsidR="006F0ED7"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 w:rsidR="006F0ED7"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 w:rsidR="006B1382"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 w:rsidR="006F0ED7"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Соглашения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 w:rsidR="006F0ED7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Соглашения и (или) Иное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 w:rsidR="006F0ED7"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 w:rsidR="006F0ED7"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Соглашения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2" w:name="o8_11"/>
      <w:bookmarkEnd w:id="42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 w:rsidR="006B1382"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6B1382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43" w:name="o8_15"/>
      <w:bookmarkEnd w:id="43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 w:rsidR="006B1382"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 w:rsidR="006B1382"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 w:rsidR="006B1382"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Регулирования, в </w:t>
      </w:r>
      <w:r w:rsidR="006B1382">
        <w:rPr>
          <w:rFonts w:ascii="Times New Roman" w:hAnsi="Times New Roman"/>
          <w:sz w:val="24"/>
          <w:szCs w:val="24"/>
        </w:rPr>
        <w:lastRenderedPageBreak/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BE49A9" w:rsidRPr="00BE49A9" w:rsidRDefault="00BE49A9" w:rsidP="006F0ED7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4" w:name="o8_17"/>
      <w:bookmarkEnd w:id="44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Соглашения путем уступки требования или перевода долга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 w:rsidR="00DD75B5"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 w:rsidR="00DD75B5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DD75B5">
        <w:rPr>
          <w:rFonts w:ascii="Times New Roman" w:hAnsi="Times New Roman"/>
          <w:sz w:val="24"/>
          <w:szCs w:val="24"/>
        </w:rPr>
        <w:t>ами</w:t>
      </w:r>
      <w:proofErr w:type="spellEnd"/>
      <w:r w:rsidR="00DD75B5"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Обеспечение исполнения Концессионером обязательств по концессионному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BE49A9" w:rsidRPr="00BE49A9" w:rsidRDefault="00BE49A9" w:rsidP="00BE49A9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49A9" w:rsidRPr="00DD75B5" w:rsidRDefault="00BE49A9" w:rsidP="008758AA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45" w:name="_Toc323145443"/>
      <w:r w:rsidRPr="00DD75B5">
        <w:rPr>
          <w:rFonts w:ascii="Times New Roman" w:hAnsi="Times New Roman"/>
          <w:sz w:val="24"/>
          <w:szCs w:val="24"/>
        </w:rPr>
        <w:t>Сроки по соглашению</w:t>
      </w:r>
      <w:bookmarkEnd w:id="45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BE49A9" w:rsidRPr="00BE49A9" w:rsidRDefault="00BE49A9" w:rsidP="00F6653E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r w:rsidR="00DD75B5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46" w:name="o9"/>
      <w:bookmarkStart w:id="47" w:name="o9_2"/>
      <w:bookmarkEnd w:id="46"/>
      <w:bookmarkEnd w:id="47"/>
      <w:r w:rsidRPr="00BE49A9">
        <w:rPr>
          <w:rFonts w:ascii="Times New Roman" w:hAnsi="Times New Roman"/>
          <w:sz w:val="24"/>
          <w:szCs w:val="24"/>
        </w:rPr>
        <w:t>Концессионер обязан провести работы по реконструкции объектов, входящих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до сентября 2016 года. </w:t>
      </w:r>
      <w:bookmarkStart w:id="48" w:name="o9_3"/>
      <w:bookmarkEnd w:id="48"/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объектов в эксплуатацию, входящих         в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 до сентября 2016 года.</w:t>
      </w:r>
    </w:p>
    <w:p w:rsidR="00BE49A9" w:rsidRPr="00BE49A9" w:rsidRDefault="00BE49A9" w:rsidP="008758A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49" w:name="o9_4"/>
      <w:bookmarkEnd w:id="49"/>
      <w:r w:rsidRPr="00BE49A9">
        <w:rPr>
          <w:rFonts w:ascii="Times New Roman" w:hAnsi="Times New Roman"/>
          <w:sz w:val="24"/>
          <w:szCs w:val="24"/>
        </w:rPr>
        <w:t>Срок начала использования (эксплуатации) Концессионером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начинается с момента ввода Объектов Соглашения               и Иного имущества в эксплуатацию.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 w:rsidR="00F6653E"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 w:rsidR="00F6653E"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6653E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50" w:name="o9_7"/>
      <w:bookmarkStart w:id="51" w:name="o9_8"/>
      <w:bookmarkEnd w:id="50"/>
      <w:bookmarkEnd w:id="51"/>
      <w:r w:rsidRPr="00BE49A9">
        <w:rPr>
          <w:sz w:val="24"/>
          <w:szCs w:val="24"/>
        </w:rPr>
        <w:t xml:space="preserve">Срок передачи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мущества: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 окончанию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отопительного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сезона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 xml:space="preserve">2015 – 2016 </w:t>
      </w:r>
      <w:r w:rsidR="00F6653E">
        <w:rPr>
          <w:sz w:val="24"/>
          <w:szCs w:val="24"/>
        </w:rPr>
        <w:t xml:space="preserve">   </w:t>
      </w:r>
      <w:r w:rsidRPr="00BE49A9">
        <w:rPr>
          <w:sz w:val="24"/>
          <w:szCs w:val="24"/>
        </w:rPr>
        <w:t xml:space="preserve">годов,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не </w:t>
      </w:r>
      <w:r w:rsidR="00F6653E">
        <w:rPr>
          <w:sz w:val="24"/>
          <w:szCs w:val="24"/>
        </w:rPr>
        <w:t xml:space="preserve">  </w:t>
      </w:r>
      <w:r w:rsidRPr="00BE49A9">
        <w:rPr>
          <w:sz w:val="24"/>
          <w:szCs w:val="24"/>
        </w:rPr>
        <w:t xml:space="preserve">позднее                        </w:t>
      </w:r>
    </w:p>
    <w:p w:rsidR="00BE49A9" w:rsidRPr="00F6653E" w:rsidRDefault="00BE49A9" w:rsidP="00F665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lastRenderedPageBreak/>
        <w:t xml:space="preserve">1 июня 2016 года.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52" w:name="o9_9"/>
      <w:bookmarkStart w:id="53" w:name="o9_10"/>
      <w:bookmarkEnd w:id="52"/>
      <w:bookmarkEnd w:id="53"/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="00F6653E"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BE49A9" w:rsidRPr="00BE49A9" w:rsidRDefault="00BE49A9" w:rsidP="008758AA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54" w:name="o9_11"/>
      <w:bookmarkStart w:id="55" w:name="o9_12"/>
      <w:bookmarkEnd w:id="54"/>
      <w:r w:rsidRPr="00BE49A9">
        <w:rPr>
          <w:sz w:val="24"/>
          <w:szCs w:val="24"/>
        </w:rPr>
        <w:t>Срок осуществления Концессион</w:t>
      </w:r>
      <w:r w:rsidR="00F6653E"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55"/>
      <w:r w:rsidRPr="00BE49A9">
        <w:rPr>
          <w:sz w:val="24"/>
          <w:szCs w:val="24"/>
        </w:rPr>
        <w:t>.</w:t>
      </w:r>
      <w:bookmarkStart w:id="56" w:name="_Toc323145444"/>
    </w:p>
    <w:p w:rsidR="00BE49A9" w:rsidRPr="00BE49A9" w:rsidRDefault="00BE49A9" w:rsidP="00BE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56"/>
    </w:p>
    <w:p w:rsid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57" w:name="_Toc323145445"/>
    </w:p>
    <w:p w:rsidR="00F6653E" w:rsidRPr="00BE49A9" w:rsidRDefault="00F6653E" w:rsidP="00BE49A9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BE49A9" w:rsidRPr="00F6653E" w:rsidRDefault="00BE49A9" w:rsidP="008758AA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57"/>
      <w:r w:rsidRPr="00F6653E">
        <w:rPr>
          <w:sz w:val="24"/>
          <w:szCs w:val="24"/>
        </w:rPr>
        <w:t>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 w:rsidR="00F6653E"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BE49A9" w:rsidRPr="00F6653E" w:rsidRDefault="00BE49A9" w:rsidP="008758AA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деятельности, принадлежащие </w:t>
      </w:r>
      <w:proofErr w:type="spellStart"/>
      <w:r w:rsidRPr="00F6653E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              </w:t>
      </w:r>
      <w:r w:rsidR="00F6653E"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</w:t>
      </w: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653E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58" w:name="o11_4"/>
      <w:bookmarkStart w:id="59" w:name="_Toc323145446"/>
      <w:bookmarkEnd w:id="58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BE49A9" w:rsidRPr="00F6653E" w:rsidRDefault="00BE49A9" w:rsidP="00F6653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59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0" w:name="o12_1"/>
      <w:bookmarkEnd w:id="60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Деятельности, обязательств по использованию (эксплуатации) Объекта Соглашения               в соответствии с целями, установленными Соглашением, а также сроков исполнения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контроль за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 w:rsidR="00F6653E"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 w:rsidR="00F6653E"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</w:t>
      </w:r>
      <w:r w:rsidRPr="00BE49A9">
        <w:rPr>
          <w:sz w:val="24"/>
          <w:szCs w:val="24"/>
        </w:rPr>
        <w:lastRenderedPageBreak/>
        <w:t>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 w:rsidR="00F6653E">
        <w:rPr>
          <w:sz w:val="24"/>
          <w:szCs w:val="24"/>
        </w:rPr>
        <w:t xml:space="preserve"> техническую комиссию (далее – </w:t>
      </w:r>
      <w:r w:rsidR="00F6653E"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 w:rsidR="00F6653E">
        <w:rPr>
          <w:sz w:val="24"/>
          <w:szCs w:val="24"/>
        </w:rPr>
        <w:t xml:space="preserve"> </w:t>
      </w:r>
      <w:r w:rsidR="00F6653E"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 w:rsidR="00F6653E"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BE49A9" w:rsidRPr="00BE49A9" w:rsidRDefault="00BE49A9" w:rsidP="00F6653E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 w:rsidR="00F6653E"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доступ                  на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Деятельности.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BE49A9" w:rsidRPr="00BE49A9" w:rsidRDefault="00BE49A9" w:rsidP="008758AA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параметров оказываемых услуг, соответствия плану-графику достижения критериев конкурса. Отчет готовится по окончании каждого отопительного периода (в срок до 1 июня теку</w:t>
      </w:r>
      <w:r w:rsidR="00F6653E"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такой проверке и составе инвентаризационной комиссии не позже, чем за 1 (один) месяц до начала инвентаризации.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1" w:name="o12_7"/>
      <w:bookmarkEnd w:id="61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BE49A9" w:rsidRPr="00F6653E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62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62"/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63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4" w:name="o13_2"/>
      <w:bookmarkEnd w:id="63"/>
      <w:bookmarkEnd w:id="64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5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 w:rsidR="00F6653E"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6" w:name="o13_4"/>
      <w:bookmarkEnd w:id="65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Соглашения и (или) Иного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 w:rsidR="00F6653E"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66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 w:rsidR="00F6653E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по качеству работ по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F6653E"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в течение срока возврата инвестированного капитала в Объект Соглашения.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7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</w:t>
      </w:r>
      <w:r w:rsidRPr="00BE49A9">
        <w:rPr>
          <w:rFonts w:ascii="Times New Roman" w:hAnsi="Times New Roman"/>
          <w:sz w:val="24"/>
          <w:szCs w:val="24"/>
        </w:rPr>
        <w:lastRenderedPageBreak/>
        <w:t>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Соглашения,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Соглашения,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67"/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 w:rsidR="00F6653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F6653E"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 w:rsidR="00F6653E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 w:rsidR="00F6653E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Соглашения,                   на дату обнаружения таких нарушений. 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За предоставление потребителям услуг худших по качеству                                    и по количеству или не предоставление услуг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 w:rsidR="00F6653E"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="00F6653E"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68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84CAB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BE49A9" w:rsidRDefault="00BE49A9" w:rsidP="00A84CAB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68"/>
    </w:p>
    <w:p w:rsidR="00A84CAB" w:rsidRPr="00A84CAB" w:rsidRDefault="00A84CAB" w:rsidP="00E86D8A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8758AA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69" w:name="o14_1"/>
      <w:bookmarkEnd w:id="69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70" w:name="_DV_M1582"/>
      <w:bookmarkEnd w:id="70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</w:t>
      </w:r>
      <w:r w:rsidRPr="00BE49A9">
        <w:rPr>
          <w:rFonts w:eastAsia="SimSun"/>
          <w:w w:val="0"/>
          <w:sz w:val="24"/>
          <w:szCs w:val="24"/>
          <w:lang w:val="ru-RU"/>
        </w:rPr>
        <w:lastRenderedPageBreak/>
        <w:t xml:space="preserve">Сторона освобождается от ответственности за неисполнение (ненадлежащее исполнение) соответствующих обязательств.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71" w:name="_Сторона__исполнению_которой"/>
      <w:bookmarkStart w:id="72" w:name="_DV_M1583"/>
      <w:bookmarkStart w:id="73" w:name="o4_12"/>
      <w:bookmarkStart w:id="74" w:name="o14_2"/>
      <w:bookmarkEnd w:id="71"/>
      <w:bookmarkEnd w:id="72"/>
      <w:bookmarkEnd w:id="7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Сторона, исполнению обязательств по Соглашения которой препятствовало обстоятельство </w:t>
      </w:r>
      <w:bookmarkStart w:id="75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76" w:name="_DV_M1584"/>
      <w:bookmarkEnd w:id="75"/>
      <w:bookmarkEnd w:id="7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 w:rsidR="00A84CAB"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77" w:name="_DV_M1585"/>
      <w:bookmarkEnd w:id="74"/>
      <w:bookmarkEnd w:id="7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 w:rsidR="00A84CAB"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78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79" w:name="_DV_M1586"/>
      <w:bookmarkEnd w:id="78"/>
      <w:bookmarkEnd w:id="7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80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81" w:name="_DV_M1587"/>
      <w:bookmarkEnd w:id="80"/>
      <w:bookmarkEnd w:id="8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82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83" w:name="_DV_M1588"/>
      <w:bookmarkEnd w:id="82"/>
      <w:bookmarkEnd w:id="8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84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85" w:name="_DV_M1589"/>
      <w:bookmarkEnd w:id="84"/>
      <w:bookmarkEnd w:id="8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86" w:name="_DV_M1590"/>
      <w:bookmarkEnd w:id="86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87" w:name="_DV_M1591"/>
      <w:bookmarkEnd w:id="8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88" w:name="_DV_M1592"/>
      <w:bookmarkEnd w:id="8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89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90" w:name="_DV_M1593"/>
      <w:bookmarkEnd w:id="89"/>
      <w:bookmarkEnd w:id="9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91" w:name="_DV_M1594"/>
      <w:bookmarkEnd w:id="9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92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93" w:name="_DV_M1595"/>
      <w:bookmarkEnd w:id="92"/>
      <w:bookmarkEnd w:id="93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94" w:name="_DV_M1596"/>
      <w:bookmarkEnd w:id="94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95" w:name="_DV_M1597"/>
      <w:bookmarkEnd w:id="9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 уведомить в письменной форме другую Сторону               о прекращении действия обстоятельства </w:t>
      </w:r>
      <w:bookmarkStart w:id="96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97" w:name="_DV_M1598"/>
      <w:bookmarkEnd w:id="96"/>
      <w:bookmarkEnd w:id="9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98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99" w:name="_DV_M1599"/>
      <w:bookmarkEnd w:id="98"/>
      <w:bookmarkEnd w:id="9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100" w:name="_DV_M1600"/>
      <w:bookmarkEnd w:id="10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101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102" w:name="_DV_M1601"/>
      <w:bookmarkEnd w:id="101"/>
      <w:bookmarkEnd w:id="1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103" w:name="_DV_M1602"/>
      <w:bookmarkEnd w:id="103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104" w:name="o14_8"/>
      <w:bookmarkEnd w:id="10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 w:rsidR="00E86D8A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пунктом 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 w:rsidR="00E86D8A"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выше в течение установленного срока, то по истечении такого срока возникшие разногласия подлежат разрешению в судебном порядке.</w:t>
      </w:r>
    </w:p>
    <w:p w:rsidR="00BE49A9" w:rsidRPr="00BE49A9" w:rsidRDefault="00BE49A9" w:rsidP="00BE49A9">
      <w:pPr>
        <w:pStyle w:val="a6"/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BE49A9" w:rsidRPr="00E86D8A" w:rsidRDefault="00BE49A9" w:rsidP="008758AA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105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105"/>
      <w:r w:rsidRPr="00E86D8A">
        <w:rPr>
          <w:rFonts w:ascii="Times New Roman" w:hAnsi="Times New Roman"/>
          <w:sz w:val="24"/>
          <w:szCs w:val="24"/>
        </w:rPr>
        <w:t>я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8" w:history="1">
        <w:r w:rsidR="00BE49A9"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="00BE49A9"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="00BE49A9" w:rsidRPr="00BE49A9">
        <w:rPr>
          <w:rFonts w:eastAsiaTheme="minorHAnsi"/>
          <w:sz w:val="24"/>
          <w:szCs w:val="24"/>
        </w:rPr>
        <w:t xml:space="preserve"> Указанное согласие </w:t>
      </w:r>
      <w:r w:rsidR="00BE49A9" w:rsidRPr="00BE49A9">
        <w:rPr>
          <w:rFonts w:eastAsiaTheme="minorHAnsi"/>
          <w:sz w:val="24"/>
          <w:szCs w:val="24"/>
        </w:rPr>
        <w:lastRenderedPageBreak/>
        <w:t xml:space="preserve">требуется также в случае изменения условий концессионного соглашения по основаниям, предусмотренным </w:t>
      </w:r>
      <w:hyperlink r:id="rId9" w:history="1">
        <w:r w:rsidR="00BE49A9" w:rsidRPr="00BE49A9">
          <w:rPr>
            <w:rFonts w:eastAsiaTheme="minorHAnsi"/>
            <w:sz w:val="24"/>
            <w:szCs w:val="24"/>
          </w:rPr>
          <w:t>частями 1</w:t>
        </w:r>
      </w:hyperlink>
      <w:r w:rsidR="00BE49A9" w:rsidRPr="00BE49A9">
        <w:rPr>
          <w:rFonts w:eastAsiaTheme="minorHAnsi"/>
          <w:sz w:val="24"/>
          <w:szCs w:val="24"/>
        </w:rPr>
        <w:t xml:space="preserve">, </w:t>
      </w:r>
      <w:hyperlink r:id="rId10" w:history="1">
        <w:r w:rsidR="00BE49A9" w:rsidRPr="00BE49A9">
          <w:rPr>
            <w:rFonts w:eastAsiaTheme="minorHAnsi"/>
            <w:sz w:val="24"/>
            <w:szCs w:val="24"/>
          </w:rPr>
          <w:t>3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11" w:history="1">
        <w:r w:rsidR="00BE49A9" w:rsidRPr="00BE49A9">
          <w:rPr>
            <w:rFonts w:eastAsiaTheme="minorHAnsi"/>
            <w:sz w:val="24"/>
            <w:szCs w:val="24"/>
          </w:rPr>
          <w:t>4 статьи 20</w:t>
        </w:r>
      </w:hyperlink>
      <w:r w:rsidR="00BE49A9" w:rsidRPr="00BE49A9">
        <w:rPr>
          <w:rFonts w:eastAsiaTheme="minorHAnsi"/>
          <w:sz w:val="24"/>
          <w:szCs w:val="24"/>
        </w:rPr>
        <w:t xml:space="preserve"> Федерального закона от 21 июля 2005 года № 115-ФЗ «О концессионных соглашениях» (далее – Закон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соглашениях). Для изменения условий концессионного соглашения в случаях, предусмотренных </w:t>
      </w:r>
      <w:hyperlink r:id="rId12" w:history="1">
        <w:r w:rsidR="00BE49A9"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13" w:history="1">
        <w:r w:rsidR="00BE49A9"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="00BE49A9" w:rsidRPr="00BE49A9">
        <w:rPr>
          <w:rFonts w:eastAsiaTheme="minorHAnsi"/>
          <w:sz w:val="24"/>
          <w:szCs w:val="24"/>
        </w:rPr>
        <w:t xml:space="preserve"> и </w:t>
      </w:r>
      <w:hyperlink r:id="rId14" w:history="1">
        <w:r w:rsidR="00BE49A9" w:rsidRPr="00BE49A9">
          <w:rPr>
            <w:rFonts w:eastAsiaTheme="minorHAnsi"/>
            <w:sz w:val="24"/>
            <w:szCs w:val="24"/>
          </w:rPr>
          <w:t>статьей 38</w:t>
        </w:r>
      </w:hyperlink>
      <w:r w:rsidR="00BE49A9"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="00BE49A9"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="00BE49A9" w:rsidRPr="00BE49A9">
        <w:rPr>
          <w:rFonts w:eastAsiaTheme="minorHAnsi"/>
          <w:sz w:val="24"/>
          <w:szCs w:val="24"/>
        </w:rPr>
        <w:t xml:space="preserve">не требуется.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концессионного соглашения в случае, если реализация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концессионного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концессионным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концессионного соглашения либо предоставления мотивированного отказа.</w:t>
      </w:r>
    </w:p>
    <w:p w:rsidR="00BE49A9" w:rsidRPr="00BE49A9" w:rsidRDefault="00E86D8A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="00BE49A9"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106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106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 w:rsidR="00E86D8A"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BE49A9" w:rsidRPr="00BE49A9" w:rsidRDefault="00BE49A9" w:rsidP="008758AA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 w:rsidR="00E86D8A"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BE49A9" w:rsidRPr="00BE49A9" w:rsidRDefault="00BE49A9" w:rsidP="00E8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107" w:name="_Toc323145451"/>
      <w:r w:rsidRPr="00E86D8A">
        <w:rPr>
          <w:sz w:val="24"/>
          <w:szCs w:val="24"/>
        </w:rPr>
        <w:t xml:space="preserve">Гарантии осуществления </w:t>
      </w:r>
      <w:bookmarkEnd w:id="107"/>
      <w:r w:rsidRPr="00E86D8A">
        <w:rPr>
          <w:sz w:val="24"/>
          <w:szCs w:val="24"/>
        </w:rPr>
        <w:t>концессионной деятельности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 w:rsidR="00E86D8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</w:t>
      </w:r>
      <w:r w:rsidRPr="00BE49A9">
        <w:rPr>
          <w:rFonts w:eastAsiaTheme="minorHAnsi"/>
          <w:sz w:val="24"/>
          <w:szCs w:val="24"/>
        </w:rPr>
        <w:lastRenderedPageBreak/>
        <w:t xml:space="preserve">в соответствии с </w:t>
      </w:r>
      <w:hyperlink r:id="rId15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концессионного соглашения                  к другому собственнику не является основанием для изменения или прекращения концессионного соглашения. </w:t>
      </w:r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108" w:name="o18"/>
      <w:bookmarkStart w:id="109" w:name="_Toc323145452"/>
      <w:bookmarkEnd w:id="108"/>
      <w:r w:rsidRPr="00E86D8A">
        <w:rPr>
          <w:sz w:val="24"/>
          <w:szCs w:val="24"/>
        </w:rPr>
        <w:t>Разрешение споров</w:t>
      </w:r>
      <w:bookmarkEnd w:id="109"/>
    </w:p>
    <w:p w:rsidR="00BE49A9" w:rsidRPr="00BE49A9" w:rsidRDefault="00BE49A9" w:rsidP="008758AA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110" w:name="o18_1"/>
      <w:bookmarkStart w:id="111" w:name="_Ref165450853"/>
      <w:bookmarkEnd w:id="110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 w:rsidR="00E86D8A"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>), должны разрешаться путем переговоров между сторонами, при  не достижении согласия – в Арбитражном суде Ханты-Мансийского автономного округа – Югры.</w:t>
      </w:r>
      <w:proofErr w:type="gramEnd"/>
    </w:p>
    <w:p w:rsidR="00BE49A9" w:rsidRPr="00BE49A9" w:rsidRDefault="00BE49A9" w:rsidP="00BE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9A9" w:rsidRPr="00E86D8A" w:rsidRDefault="00BE49A9" w:rsidP="008758AA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2" w:name="_DV_M1445"/>
      <w:bookmarkStart w:id="113" w:name="_Согласительные_Процедуры"/>
      <w:bookmarkStart w:id="114" w:name="_DV_M1446"/>
      <w:bookmarkStart w:id="115" w:name="_DV_M1449"/>
      <w:bookmarkStart w:id="116" w:name="o18_2"/>
      <w:bookmarkStart w:id="117" w:name="_Toc323145453"/>
      <w:bookmarkEnd w:id="111"/>
      <w:bookmarkEnd w:id="112"/>
      <w:bookmarkEnd w:id="113"/>
      <w:bookmarkEnd w:id="114"/>
      <w:bookmarkEnd w:id="115"/>
      <w:bookmarkEnd w:id="116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117"/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118" w:name="_DV_M1652"/>
      <w:bookmarkStart w:id="119" w:name="_DV_M1653"/>
      <w:bookmarkStart w:id="120" w:name="_DV_M1661"/>
      <w:bookmarkEnd w:id="118"/>
      <w:bookmarkEnd w:id="119"/>
      <w:bookmarkEnd w:id="120"/>
      <w:r w:rsidRPr="00BE49A9">
        <w:rPr>
          <w:sz w:val="24"/>
          <w:szCs w:val="24"/>
          <w:lang w:val="ru-RU"/>
        </w:rPr>
        <w:t>Все уведомления и заявления в соответствии с Соглашением,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письмом, с курьером или по факсу, либо переданы лично под роспись.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121" w:name="_DV_M1662"/>
      <w:bookmarkStart w:id="122" w:name="o19_13"/>
      <w:bookmarkEnd w:id="121"/>
      <w:bookmarkEnd w:id="122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заявления заказным письмом, с курьером,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BE49A9" w:rsidRPr="00BE49A9" w:rsidRDefault="00BE49A9" w:rsidP="008758AA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123" w:name="_DV_M1663"/>
      <w:bookmarkStart w:id="124" w:name="_DV_M1664"/>
      <w:bookmarkEnd w:id="123"/>
      <w:bookmarkEnd w:id="124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125" w:name="_DV_M1665"/>
      <w:bookmarkEnd w:id="125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126" w:name="_DV_C2048"/>
      <w:r w:rsidR="00BE49A9" w:rsidRPr="00BE49A9">
        <w:rPr>
          <w:sz w:val="24"/>
          <w:szCs w:val="24"/>
          <w:lang w:val="ru-RU"/>
        </w:rPr>
        <w:t xml:space="preserve"> с описью вложения</w:t>
      </w:r>
      <w:bookmarkStart w:id="127" w:name="_DV_M1666"/>
      <w:bookmarkEnd w:id="126"/>
      <w:bookmarkEnd w:id="127"/>
      <w:r w:rsidR="00BE49A9"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BE49A9" w:rsidRPr="00BE49A9" w:rsidRDefault="00E7450A" w:rsidP="008758AA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128" w:name="_DV_M1667"/>
      <w:bookmarkEnd w:id="128"/>
      <w:r>
        <w:rPr>
          <w:sz w:val="24"/>
          <w:szCs w:val="24"/>
          <w:lang w:val="ru-RU"/>
        </w:rPr>
        <w:t>П</w:t>
      </w:r>
      <w:r w:rsidR="00BE49A9"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BE49A9" w:rsidRPr="00BE49A9" w:rsidRDefault="00BE49A9" w:rsidP="008758AA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129" w:name="_DV_M1668"/>
      <w:bookmarkEnd w:id="129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 w:rsidR="00E7450A"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 w:rsidR="00E7450A"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BE49A9" w:rsidRPr="00BE49A9" w:rsidRDefault="00BE49A9" w:rsidP="008758AA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 w:rsidR="00E7450A"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BE49A9" w:rsidRPr="00BE49A9" w:rsidRDefault="00BE49A9" w:rsidP="00E8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8758AA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130" w:name="_DV_M1670"/>
      <w:bookmarkStart w:id="131" w:name="_DV_M1671"/>
      <w:bookmarkStart w:id="132" w:name="_DV_M1672"/>
      <w:bookmarkStart w:id="133" w:name="_DV_M1673"/>
      <w:bookmarkStart w:id="134" w:name="_DV_M1674"/>
      <w:bookmarkStart w:id="135" w:name="_DV_M1675"/>
      <w:bookmarkStart w:id="136" w:name="_DV_M1676"/>
      <w:bookmarkStart w:id="137" w:name="_DV_M1677"/>
      <w:bookmarkStart w:id="138" w:name="_DV_M1678"/>
      <w:bookmarkStart w:id="139" w:name="_DV_M1679"/>
      <w:bookmarkStart w:id="140" w:name="_DV_M1680"/>
      <w:bookmarkStart w:id="141" w:name="_DV_M1681"/>
      <w:bookmarkStart w:id="142" w:name="_DV_M1682"/>
      <w:bookmarkStart w:id="143" w:name="_DV_M1683"/>
      <w:bookmarkStart w:id="144" w:name="_DV_M1684"/>
      <w:bookmarkStart w:id="145" w:name="_DV_M1685"/>
      <w:bookmarkStart w:id="146" w:name="_DV_M1686"/>
      <w:bookmarkStart w:id="147" w:name="_Toc323145454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E7450A">
        <w:rPr>
          <w:sz w:val="24"/>
          <w:szCs w:val="24"/>
        </w:rPr>
        <w:t>Заключительные положения</w:t>
      </w:r>
      <w:bookmarkEnd w:id="147"/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BE49A9" w:rsidRPr="00BE49A9" w:rsidRDefault="00BE49A9" w:rsidP="008758AA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 w:rsidR="00E7450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lastRenderedPageBreak/>
        <w:t>Соглашение составлено на русском языке  в 3 подлинных экземплярах, имеющих равную юридическую силу, из них 1 (один) экземпляр</w:t>
      </w:r>
      <w:r w:rsidR="00E7450A"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 w:rsidR="00E7450A"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BE49A9" w:rsidRPr="00BE49A9" w:rsidRDefault="00BE49A9" w:rsidP="008758AA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BE49A9" w:rsidRPr="00BE49A9" w:rsidRDefault="00BE49A9" w:rsidP="00E7450A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BE49A9" w:rsidRPr="00BE49A9" w:rsidSect="003E1098">
          <w:headerReference w:type="default" r:id="rId16"/>
          <w:headerReference w:type="first" r:id="rId17"/>
          <w:pgSz w:w="11906" w:h="16838"/>
          <w:pgMar w:top="1072" w:right="1247" w:bottom="1134" w:left="1531" w:header="567" w:footer="567" w:gutter="0"/>
          <w:pgNumType w:start="62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BE49A9" w:rsidRPr="00BE49A9" w:rsidRDefault="00BE49A9" w:rsidP="00E7450A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 w:rsidR="00E7450A"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F2663F" w:rsidRPr="00BE49A9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 w:rsidR="00E7450A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E7450A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BE49A9" w:rsidRPr="00BE49A9" w:rsidRDefault="00BE49A9" w:rsidP="00E7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7230"/>
      </w:tblGrid>
      <w:tr w:rsidR="00BE49A9" w:rsidRPr="00BE49A9" w:rsidTr="00BE49A9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</w:t>
            </w:r>
          </w:p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260" w:type="dxa"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230" w:type="dxa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имущества, входящего в состав О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BE49A9" w:rsidRPr="00BE49A9" w:rsidTr="00BE49A9">
        <w:trPr>
          <w:trHeight w:val="297"/>
        </w:trPr>
        <w:tc>
          <w:tcPr>
            <w:tcW w:w="709" w:type="dxa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Котельная, назначение 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нежилое, этажность – 1, общей площадью 150,7 м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Югра, Ханты-Мансийский район, д. Шапша,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ул. Молодежная, свидетельство о государственной реги</w:t>
            </w:r>
            <w:r w:rsidR="00E7450A">
              <w:rPr>
                <w:rFonts w:ascii="Times New Roman" w:hAnsi="Times New Roman"/>
                <w:sz w:val="28"/>
                <w:szCs w:val="28"/>
              </w:rPr>
              <w:t>страции права серии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86-АБ, 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lastRenderedPageBreak/>
              <w:t>№ 987302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от 21.12.2014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установленная мощность – 4,859 Гкал/</w:t>
            </w:r>
            <w:proofErr w:type="gramStart"/>
            <w:r w:rsidRPr="00BE49A9">
              <w:rPr>
                <w:rFonts w:ascii="Times New Roman" w:hAnsi="Times New Roman"/>
                <w:sz w:val="28"/>
              </w:rPr>
              <w:t>ч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; присоединенная нагрузка – 1,45 Гкал/ч; удельный расход топлива – 119 кг/Гкал</w:t>
            </w:r>
          </w:p>
          <w:p w:rsidR="00BE49A9" w:rsidRPr="00BE49A9" w:rsidRDefault="00BE49A9" w:rsidP="00E745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lastRenderedPageBreak/>
              <w:t>котел КСВ-2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котел КСВ-0,5ГС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150-125-315 30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100-65-200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насос циркуляционный (2 контур) К 100-80-60 15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E49A9">
              <w:rPr>
                <w:rFonts w:ascii="Times New Roman" w:hAnsi="Times New Roman"/>
                <w:sz w:val="28"/>
              </w:rPr>
              <w:t>80-48-0,2</w:t>
            </w:r>
            <w:proofErr w:type="gramEnd"/>
            <w:r w:rsidRPr="00BE49A9">
              <w:rPr>
                <w:rFonts w:ascii="Times New Roman" w:hAnsi="Times New Roman"/>
                <w:sz w:val="28"/>
              </w:rPr>
              <w:t>а 5,5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циркуляционный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80-48-03а 7,5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(2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32-404-1,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1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 xml:space="preserve">насос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подпиточный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(1 контур) MXV </w:t>
            </w:r>
            <w:proofErr w:type="spellStart"/>
            <w:r w:rsidRPr="00BE49A9">
              <w:rPr>
                <w:rFonts w:ascii="Times New Roman" w:hAnsi="Times New Roman"/>
                <w:sz w:val="28"/>
              </w:rPr>
              <w:t>Calpeda</w:t>
            </w:r>
            <w:proofErr w:type="spellEnd"/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С25-205-0,75 КВт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047-270737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</w:rPr>
              <w:t>теплообменник пластинчатый Sm47A-10</w:t>
            </w:r>
            <w:r w:rsidR="00E7450A">
              <w:rPr>
                <w:rFonts w:ascii="Times New Roman" w:hAnsi="Times New Roman"/>
                <w:sz w:val="28"/>
              </w:rPr>
              <w:t>,</w:t>
            </w:r>
            <w:r w:rsidRPr="00BE49A9">
              <w:rPr>
                <w:rFonts w:ascii="Times New Roman" w:hAnsi="Times New Roman"/>
                <w:sz w:val="28"/>
              </w:rPr>
              <w:t xml:space="preserve"> </w:t>
            </w:r>
          </w:p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зав. № 047-270738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В600-4Т-0300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частотный преобразователь насосного оборудования Лидер А300-4Т-0150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расхода газа</w:t>
            </w:r>
          </w:p>
        </w:tc>
      </w:tr>
      <w:tr w:rsidR="00BE49A9" w:rsidRPr="00BE49A9" w:rsidTr="00BE49A9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узел учета тепловой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709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</w:rPr>
              <w:t>прибор учета электрической энергии</w:t>
            </w:r>
          </w:p>
        </w:tc>
      </w:tr>
      <w:tr w:rsidR="00BE49A9" w:rsidRPr="00BE49A9" w:rsidTr="00BE49A9">
        <w:trPr>
          <w:trHeight w:val="273"/>
        </w:trPr>
        <w:tc>
          <w:tcPr>
            <w:tcW w:w="14034" w:type="dxa"/>
            <w:gridSpan w:val="4"/>
          </w:tcPr>
          <w:p w:rsidR="00BE49A9" w:rsidRPr="00BE49A9" w:rsidRDefault="00BE49A9" w:rsidP="00E7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ное имущество, образующее единое целое с объектом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BE49A9">
              <w:rPr>
                <w:rFonts w:ascii="Times New Roman" w:hAnsi="Times New Roman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E7450A">
              <w:rPr>
                <w:rFonts w:ascii="Times New Roman" w:hAnsi="Times New Roman"/>
                <w:sz w:val="28"/>
                <w:szCs w:val="28"/>
              </w:rPr>
              <w:t>К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BE49A9" w:rsidRPr="00BE49A9" w:rsidTr="00BE49A9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</w:t>
            </w:r>
            <w:r w:rsidR="004814E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нежилое, протяженность 2271,2 м, адрес объекта: Ханты-Мансийский автономный округ – Югра, Ханты-Мансийский район, д. Шапша свидетельство о государственной регистрации права серия 86-АБ, № 987303 от 21.12.2014</w:t>
            </w:r>
          </w:p>
        </w:tc>
      </w:tr>
      <w:tr w:rsidR="00BE49A9" w:rsidRPr="00BE49A9" w:rsidTr="00BE49A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325" w:type="dxa"/>
            <w:gridSpan w:val="3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Котел КСВ-3,15, инвентарный № 00-000008, балансовая стоимость 1 850 000,00 руб.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>» GP-90H, инвентарный № 142015, балансовая стоимость 408 718,00 руб.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«</w:t>
            </w:r>
            <w:proofErr w:type="spellStart"/>
            <w:r w:rsidRPr="00BE49A9">
              <w:rPr>
                <w:rFonts w:ascii="Times New Roman" w:hAnsi="Times New Roman"/>
                <w:sz w:val="28"/>
                <w:szCs w:val="28"/>
              </w:rPr>
              <w:t>Oilon</w:t>
            </w:r>
            <w:proofErr w:type="spellEnd"/>
            <w:r w:rsidRPr="00BE49A9">
              <w:rPr>
                <w:rFonts w:ascii="Times New Roman" w:hAnsi="Times New Roman"/>
                <w:sz w:val="28"/>
                <w:szCs w:val="28"/>
              </w:rPr>
              <w:t>» GP-140H, инвентарный № 142014, балансовая стоимость 469 800,00 руб.</w:t>
            </w:r>
          </w:p>
        </w:tc>
      </w:tr>
      <w:tr w:rsidR="00BE49A9" w:rsidRPr="00BE49A9" w:rsidTr="00BE49A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Горелка GIERSCH MG10-Z-L-N, инвентарный № 00-000068, балансовая стоимость 309 000,00 руб.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Дизель-генератор Вольво, инвентарный №</w:t>
            </w:r>
            <w:r w:rsidR="00E7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>142062, балансовая стоимость 1208201,59 руб.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Щит управления насосами 1 и 2 контура котельной, инвентарный № 141948, балансовая стоимость 134 745,76 руб.</w:t>
            </w:r>
          </w:p>
        </w:tc>
      </w:tr>
      <w:tr w:rsidR="00BE49A9" w:rsidRPr="00BE49A9" w:rsidTr="00BE49A9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>1.8</w:t>
            </w:r>
            <w:r w:rsidR="00E7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3"/>
            <w:vAlign w:val="center"/>
          </w:tcPr>
          <w:p w:rsidR="00BE49A9" w:rsidRPr="00BE49A9" w:rsidRDefault="00BE49A9" w:rsidP="00BE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A9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Pr="00BE49A9">
              <w:rPr>
                <w:rFonts w:ascii="Times New Roman" w:hAnsi="Times New Roman"/>
                <w:sz w:val="28"/>
                <w:szCs w:val="28"/>
                <w:lang w:val="en-US"/>
              </w:rPr>
              <w:t>MXV</w:t>
            </w:r>
            <w:r w:rsidRPr="00BE49A9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141725, балансовая стоимость 31 500,00 руб.</w:t>
            </w:r>
          </w:p>
        </w:tc>
      </w:tr>
    </w:tbl>
    <w:p w:rsidR="00BE49A9" w:rsidRPr="00BE49A9" w:rsidRDefault="00BE49A9" w:rsidP="00BE49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E49A9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BE49A9" w:rsidRPr="00BE49A9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 w:rsidR="00E7450A"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BE49A9" w:rsidRDefault="00BE49A9" w:rsidP="00F266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10" w:type="pct"/>
        <w:jc w:val="center"/>
        <w:tblInd w:w="-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1534"/>
        <w:gridCol w:w="1032"/>
        <w:gridCol w:w="1460"/>
        <w:gridCol w:w="2556"/>
      </w:tblGrid>
      <w:tr w:rsidR="00BE49A9" w:rsidRPr="00BE49A9" w:rsidTr="00BE49A9">
        <w:trPr>
          <w:trHeight w:val="600"/>
          <w:jc w:val="center"/>
        </w:trPr>
        <w:tc>
          <w:tcPr>
            <w:tcW w:w="1339" w:type="pct"/>
            <w:vMerge w:val="restart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1422" w:type="pct"/>
            <w:vMerge w:val="restart"/>
            <w:shd w:val="clear" w:color="auto" w:fill="auto"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BE49A9" w:rsidRPr="00BE49A9" w:rsidTr="00BE49A9">
        <w:trPr>
          <w:trHeight w:val="276"/>
          <w:jc w:val="center"/>
        </w:trPr>
        <w:tc>
          <w:tcPr>
            <w:tcW w:w="1339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53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81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1422" w:type="pct"/>
            <w:vMerge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BE49A9" w:rsidTr="00BE49A9">
        <w:trPr>
          <w:trHeight w:val="300"/>
          <w:jc w:val="center"/>
        </w:trPr>
        <w:tc>
          <w:tcPr>
            <w:tcW w:w="1339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</w:rPr>
              <w:t>Газовая котельная</w:t>
            </w:r>
          </w:p>
        </w:tc>
        <w:tc>
          <w:tcPr>
            <w:tcW w:w="853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1422" w:type="pct"/>
            <w:shd w:val="clear" w:color="auto" w:fill="auto"/>
            <w:noWrap/>
            <w:hideMark/>
          </w:tcPr>
          <w:p w:rsidR="00BE49A9" w:rsidRPr="00BE49A9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BE49A9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Исполнение – блочно-модульная котельная (далее – БМК).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Результат реконструкции – создание новой газовой генерации суммарной мощностью 6,0 МВт.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Компле</w:t>
      </w:r>
      <w:proofErr w:type="gramStart"/>
      <w:r w:rsidRPr="00BE49A9">
        <w:rPr>
          <w:rFonts w:ascii="Times New Roman" w:hAnsi="Times New Roman"/>
          <w:sz w:val="24"/>
          <w:szCs w:val="24"/>
        </w:rPr>
        <w:t>кс вкл</w:t>
      </w:r>
      <w:proofErr w:type="gramEnd"/>
      <w:r w:rsidRPr="00BE49A9">
        <w:rPr>
          <w:rFonts w:ascii="Times New Roman" w:hAnsi="Times New Roman"/>
          <w:sz w:val="24"/>
          <w:szCs w:val="24"/>
        </w:rPr>
        <w:t>ючает в себя: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BE49A9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блок-модулей                 на капитальном основании (фундаменте);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Pr="00BE49A9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система аварийного электроснабжения на базе </w:t>
      </w:r>
      <w:proofErr w:type="spellStart"/>
      <w:r w:rsidRPr="00BE49A9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система отопления и приточно-вытяжной вентиляции; </w:t>
      </w:r>
    </w:p>
    <w:p w:rsidR="00BE49A9" w:rsidRPr="00BE49A9" w:rsidRDefault="00E7450A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BE49A9" w:rsidRPr="00BE49A9">
        <w:rPr>
          <w:rFonts w:ascii="Times New Roman" w:hAnsi="Times New Roman"/>
          <w:sz w:val="24"/>
          <w:szCs w:val="24"/>
        </w:rPr>
        <w:t>охранная</w:t>
      </w:r>
      <w:proofErr w:type="spellEnd"/>
      <w:r w:rsidR="00BE49A9" w:rsidRPr="00BE49A9">
        <w:rPr>
          <w:rFonts w:ascii="Times New Roman" w:hAnsi="Times New Roman"/>
          <w:sz w:val="24"/>
          <w:szCs w:val="24"/>
        </w:rPr>
        <w:t xml:space="preserve"> сигнализация;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сигнализация загазованности по метану </w:t>
      </w:r>
      <w:r w:rsidRPr="00BE49A9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BE49A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и угарному газу </w:t>
      </w:r>
      <w:r w:rsidRPr="00BE49A9">
        <w:rPr>
          <w:rFonts w:ascii="Times New Roman" w:hAnsi="Times New Roman"/>
          <w:i/>
          <w:sz w:val="24"/>
          <w:szCs w:val="24"/>
        </w:rPr>
        <w:t>СО</w:t>
      </w:r>
      <w:r w:rsidRPr="00BE49A9">
        <w:rPr>
          <w:rFonts w:ascii="Times New Roman" w:hAnsi="Times New Roman"/>
          <w:sz w:val="24"/>
          <w:szCs w:val="24"/>
        </w:rPr>
        <w:t xml:space="preserve">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BE49A9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Технологической схемой БМК предусмотрены следующие температурные режимы эксплуатации: </w:t>
      </w:r>
    </w:p>
    <w:p w:rsidR="00BE49A9" w:rsidRPr="00BE49A9" w:rsidRDefault="00BE49A9" w:rsidP="00E74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E745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Установлено 100% резервирование насосных групп в БМК (один насос – рабочий, один – резервный). В случае остановки рабочего насоса переключение                  на </w:t>
      </w:r>
      <w:proofErr w:type="gramStart"/>
      <w:r w:rsidRPr="00BE49A9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Выполнено: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подключение к </w:t>
      </w:r>
      <w:proofErr w:type="spellStart"/>
      <w:r w:rsidRPr="00BE49A9">
        <w:rPr>
          <w:rFonts w:ascii="Times New Roman" w:hAnsi="Times New Roman"/>
          <w:sz w:val="24"/>
          <w:szCs w:val="24"/>
        </w:rPr>
        <w:t>внутрипоселковым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тепловым сетям;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BE49A9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BE49A9">
        <w:rPr>
          <w:rFonts w:ascii="Times New Roman" w:hAnsi="Times New Roman"/>
          <w:sz w:val="24"/>
          <w:szCs w:val="24"/>
        </w:rPr>
        <w:t>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автоматика управления и безопасности, позволяющей эксплуатировать БМК                в автоматическом режиме без присутствия обслуживающего персонала;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В БМК установить устройство автоматического ввода резерва (АВР);</w:t>
      </w:r>
    </w:p>
    <w:p w:rsidR="00BE49A9" w:rsidRPr="00BE49A9" w:rsidRDefault="00BE49A9" w:rsidP="00BE4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BE49A9" w:rsidRPr="00BE49A9" w:rsidRDefault="00BE49A9" w:rsidP="00BE4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A9" w:rsidRPr="001C5FAE" w:rsidRDefault="00BE49A9" w:rsidP="00BE49A9">
      <w:pPr>
        <w:ind w:firstLine="709"/>
        <w:jc w:val="center"/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F2663F" w:rsidRDefault="00F2663F" w:rsidP="00F2663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E7450A" w:rsidRDefault="00BE49A9" w:rsidP="00E7450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BE49A9" w:rsidRPr="00E7450A" w:rsidRDefault="00BE49A9" w:rsidP="00E745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 w:rsidR="00D55693"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E7450A" w:rsidRDefault="00BE49A9" w:rsidP="00E7450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5000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6"/>
        <w:gridCol w:w="639"/>
        <w:gridCol w:w="1015"/>
        <w:gridCol w:w="867"/>
        <w:gridCol w:w="776"/>
        <w:gridCol w:w="577"/>
        <w:gridCol w:w="626"/>
        <w:gridCol w:w="708"/>
      </w:tblGrid>
      <w:tr w:rsidR="00BE49A9" w:rsidRPr="00F4158B" w:rsidTr="00BE49A9">
        <w:trPr>
          <w:trHeight w:val="300"/>
          <w:jc w:val="center"/>
        </w:trPr>
        <w:tc>
          <w:tcPr>
            <w:tcW w:w="2213" w:type="pct"/>
            <w:vMerge w:val="restar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49" w:type="pct"/>
            <w:gridSpan w:val="3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438" w:type="pct"/>
            <w:gridSpan w:val="4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BE49A9" w:rsidRPr="00F4158B" w:rsidTr="00E7450A">
        <w:trPr>
          <w:trHeight w:val="600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:rsidR="00BE49A9" w:rsidRPr="00F4158B" w:rsidRDefault="00E7450A" w:rsidP="00E7450A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BE49A9" w:rsidRPr="00F4158B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E49A9" w:rsidRPr="00F4158B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09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BE49A9" w:rsidRPr="00F4158B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BE49A9" w:rsidRPr="00F4158B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  <w:hideMark/>
          </w:tcPr>
          <w:p w:rsidR="00BE49A9" w:rsidRPr="00F4158B" w:rsidRDefault="00E7450A" w:rsidP="00E7450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BE49A9" w:rsidRPr="00F4158B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BE49A9" w:rsidRPr="00F4158B" w:rsidTr="00BE49A9">
        <w:trPr>
          <w:trHeight w:val="1809"/>
          <w:jc w:val="center"/>
        </w:trPr>
        <w:tc>
          <w:tcPr>
            <w:tcW w:w="2213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4158B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1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BE49A9" w:rsidRPr="00F4158B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BE49A9" w:rsidRPr="00E7450A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E7450A">
              <w:rPr>
                <w:bCs/>
                <w:color w:val="auto"/>
                <w:sz w:val="24"/>
                <w:lang w:eastAsia="ru-RU"/>
              </w:rPr>
              <w:t>д. Шапша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</w:rPr>
            </w:pPr>
            <w:r w:rsidRPr="00E7450A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35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BE49A9" w:rsidRPr="00E7450A" w:rsidRDefault="00BE49A9" w:rsidP="00BE49A9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E7450A">
              <w:rPr>
                <w:color w:val="auto"/>
                <w:sz w:val="24"/>
                <w:lang w:eastAsia="ru-RU"/>
              </w:rPr>
              <w:t>6,00</w:t>
            </w:r>
          </w:p>
        </w:tc>
      </w:tr>
      <w:tr w:rsidR="00BE49A9" w:rsidRPr="00F4158B" w:rsidTr="00BE49A9">
        <w:trPr>
          <w:trHeight w:val="300"/>
          <w:jc w:val="center"/>
        </w:trPr>
        <w:tc>
          <w:tcPr>
            <w:tcW w:w="2213" w:type="pct"/>
            <w:shd w:val="clear" w:color="auto" w:fill="auto"/>
            <w:noWrap/>
            <w:hideMark/>
          </w:tcPr>
          <w:p w:rsidR="00BE49A9" w:rsidRDefault="00BE49A9" w:rsidP="00BE49A9">
            <w:pPr>
              <w:pStyle w:val="aff2"/>
              <w:jc w:val="left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 xml:space="preserve">Котельная, назначение </w:t>
            </w:r>
            <w:r w:rsidR="00E7450A">
              <w:rPr>
                <w:color w:val="auto"/>
                <w:sz w:val="24"/>
              </w:rPr>
              <w:t xml:space="preserve">– </w:t>
            </w:r>
            <w:r w:rsidRPr="00F4158B">
              <w:rPr>
                <w:color w:val="auto"/>
                <w:sz w:val="24"/>
              </w:rPr>
              <w:t>нежилое, этажность – 1, общей площадью 150,7 м</w:t>
            </w:r>
            <w:proofErr w:type="gramStart"/>
            <w:r w:rsidRPr="00F4158B">
              <w:rPr>
                <w:color w:val="auto"/>
                <w:sz w:val="24"/>
                <w:vertAlign w:val="superscript"/>
              </w:rPr>
              <w:t>2</w:t>
            </w:r>
            <w:proofErr w:type="gramEnd"/>
            <w:r w:rsidRPr="00F4158B">
              <w:rPr>
                <w:color w:val="auto"/>
                <w:sz w:val="24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BE49A9" w:rsidRPr="00F4158B" w:rsidRDefault="00BE49A9" w:rsidP="00BE49A9">
            <w:pPr>
              <w:pStyle w:val="aff2"/>
              <w:jc w:val="left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</w:rPr>
              <w:t>д. Шапша</w:t>
            </w:r>
            <w:r>
              <w:rPr>
                <w:color w:val="auto"/>
                <w:sz w:val="24"/>
              </w:rPr>
              <w:t>,</w:t>
            </w:r>
            <w:r w:rsidRPr="00F4158B">
              <w:rPr>
                <w:color w:val="auto"/>
                <w:sz w:val="24"/>
              </w:rPr>
              <w:t xml:space="preserve"> ул.</w:t>
            </w:r>
            <w:r>
              <w:rPr>
                <w:color w:val="auto"/>
                <w:sz w:val="24"/>
              </w:rPr>
              <w:t xml:space="preserve"> </w:t>
            </w:r>
            <w:r w:rsidRPr="00F4158B">
              <w:rPr>
                <w:color w:val="auto"/>
                <w:sz w:val="24"/>
              </w:rPr>
              <w:t>Молодежная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4,40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</w:rPr>
            </w:pPr>
            <w:r w:rsidRPr="00F4158B">
              <w:rPr>
                <w:color w:val="auto"/>
                <w:sz w:val="24"/>
              </w:rPr>
              <w:t>5,11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2,0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BE49A9" w:rsidRPr="00F4158B" w:rsidRDefault="00BE49A9" w:rsidP="007F5BAD">
            <w:pPr>
              <w:pStyle w:val="aff2"/>
              <w:rPr>
                <w:color w:val="auto"/>
                <w:sz w:val="24"/>
                <w:lang w:eastAsia="ru-RU"/>
              </w:rPr>
            </w:pPr>
            <w:r w:rsidRPr="00F4158B">
              <w:rPr>
                <w:color w:val="auto"/>
                <w:sz w:val="24"/>
                <w:lang w:eastAsia="ru-RU"/>
              </w:rPr>
              <w:t>6,00</w:t>
            </w:r>
          </w:p>
        </w:tc>
      </w:tr>
    </w:tbl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 предусматривает создание блочно-модульной котельной. Результат модернизации – создание новой газовой генерации суммарной мощностью 6,0 МВт.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газовой котельной, согласовывает разработанную Проектную документацию с </w:t>
      </w:r>
      <w:proofErr w:type="spellStart"/>
      <w:r w:rsidRPr="00E7450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E7450A">
        <w:rPr>
          <w:rFonts w:ascii="Times New Roman" w:hAnsi="Times New Roman"/>
          <w:sz w:val="24"/>
          <w:szCs w:val="24"/>
        </w:rPr>
        <w:t>.</w:t>
      </w:r>
    </w:p>
    <w:p w:rsidR="00BE49A9" w:rsidRPr="00E7450A" w:rsidRDefault="00BE49A9" w:rsidP="007F5BAD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E7450A">
        <w:rPr>
          <w:sz w:val="24"/>
          <w:szCs w:val="24"/>
        </w:rPr>
        <w:t xml:space="preserve">Проектом необходимо предусмотреть исполнение котельной в виде блочно-модульной котельной (БМК).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E7450A">
        <w:rPr>
          <w:sz w:val="24"/>
          <w:szCs w:val="24"/>
        </w:rPr>
        <w:t>блок-модулей</w:t>
      </w:r>
      <w:proofErr w:type="gramEnd"/>
      <w:r w:rsidRPr="00E7450A">
        <w:rPr>
          <w:sz w:val="24"/>
          <w:szCs w:val="24"/>
        </w:rPr>
        <w:t xml:space="preserve"> полной заводской готовности.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7450A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котлы с горелочными устройствами; 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внутреннее газовое и/или </w:t>
      </w:r>
      <w:proofErr w:type="spellStart"/>
      <w:r w:rsidRPr="00E7450A">
        <w:rPr>
          <w:rFonts w:ascii="Times New Roman" w:hAnsi="Times New Roman"/>
          <w:sz w:val="24"/>
          <w:szCs w:val="24"/>
        </w:rPr>
        <w:t>жидкотопливное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узел резервного топлива (аварийное топливохранилище);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система аварийного электроснабжения на базе </w:t>
      </w:r>
      <w:proofErr w:type="spellStart"/>
      <w:r w:rsidRPr="00E7450A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E49A9" w:rsidRPr="00E7450A" w:rsidRDefault="00BE49A9" w:rsidP="007F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приготовления горячей воды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насосов горячего водоснабжения (ГВС);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lastRenderedPageBreak/>
        <w:t xml:space="preserve">блок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система отопления и приточно-вытяжной вентиляции; </w:t>
      </w:r>
    </w:p>
    <w:p w:rsidR="00BE49A9" w:rsidRPr="00E7450A" w:rsidRDefault="007F5BAD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BE49A9" w:rsidRPr="00E7450A">
        <w:rPr>
          <w:rFonts w:ascii="Times New Roman" w:hAnsi="Times New Roman"/>
          <w:sz w:val="24"/>
          <w:szCs w:val="24"/>
        </w:rPr>
        <w:t>охранная</w:t>
      </w:r>
      <w:proofErr w:type="spellEnd"/>
      <w:r w:rsidR="00BE49A9" w:rsidRPr="00E7450A">
        <w:rPr>
          <w:rFonts w:ascii="Times New Roman" w:hAnsi="Times New Roman"/>
          <w:sz w:val="24"/>
          <w:szCs w:val="24"/>
        </w:rPr>
        <w:t xml:space="preserve"> сигнализация;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сигнализация загазованности по метану </w:t>
      </w:r>
      <w:r w:rsidRPr="00E7450A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E7450A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и угарному газу </w:t>
      </w:r>
      <w:r w:rsidRPr="00E7450A">
        <w:rPr>
          <w:rFonts w:ascii="Times New Roman" w:hAnsi="Times New Roman"/>
          <w:i/>
          <w:sz w:val="24"/>
          <w:szCs w:val="24"/>
        </w:rPr>
        <w:t>СО</w:t>
      </w:r>
      <w:r w:rsidRPr="00E7450A">
        <w:rPr>
          <w:rFonts w:ascii="Times New Roman" w:hAnsi="Times New Roman"/>
          <w:sz w:val="24"/>
          <w:szCs w:val="24"/>
        </w:rPr>
        <w:t xml:space="preserve">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7450A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воды, расхода топлива и потребляемой электроэнергии;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745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8" w:name="1"/>
      <w:bookmarkStart w:id="149" w:name="3"/>
      <w:bookmarkEnd w:id="148"/>
      <w:bookmarkEnd w:id="149"/>
      <w:r w:rsidRPr="00E7450A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отопления и вентиляции – вода по графику 95/70</w:t>
      </w:r>
      <w:proofErr w:type="gramStart"/>
      <w:r w:rsidRPr="00E7450A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для горячего водоснабжения (ГВС) – вода 60 °С.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7F5BAD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7450A">
        <w:rPr>
          <w:rFonts w:ascii="Times New Roman" w:hAnsi="Times New Roman"/>
          <w:sz w:val="24"/>
          <w:szCs w:val="24"/>
        </w:rPr>
        <w:t xml:space="preserve"> переключение              на </w:t>
      </w:r>
      <w:proofErr w:type="gramStart"/>
      <w:r w:rsidRPr="00E7450A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Проектом предусмотреть: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7450A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E74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50A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7450A">
        <w:rPr>
          <w:rFonts w:ascii="Times New Roman" w:hAnsi="Times New Roman"/>
          <w:sz w:val="24"/>
          <w:szCs w:val="24"/>
        </w:rPr>
        <w:t>;</w:t>
      </w:r>
    </w:p>
    <w:p w:rsidR="00BE49A9" w:rsidRPr="00E7450A" w:rsidRDefault="00BE49A9" w:rsidP="007F5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автоматику управления и безопасности, позволяющей эксплуатировать БМК                   в автоматическом режиме без присутствия обслуживающего персонала;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электроснабжение БМК от двух независимых источников электропитания.                   В БМК установить устройство автоматического ввода резерва (АВР);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склад аварийного топлива.</w:t>
      </w:r>
    </w:p>
    <w:p w:rsidR="00BE49A9" w:rsidRPr="00E7450A" w:rsidRDefault="00BE49A9" w:rsidP="007F5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Модернизация газов</w:t>
      </w:r>
      <w:r w:rsidR="007F5BAD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котельн</w:t>
      </w:r>
      <w:r w:rsidR="004814E9">
        <w:rPr>
          <w:rFonts w:ascii="Times New Roman" w:hAnsi="Times New Roman"/>
          <w:sz w:val="24"/>
          <w:szCs w:val="24"/>
        </w:rPr>
        <w:t>ой</w:t>
      </w:r>
      <w:r w:rsidRPr="00E7450A">
        <w:rPr>
          <w:rFonts w:ascii="Times New Roman" w:hAnsi="Times New Roman"/>
          <w:sz w:val="24"/>
          <w:szCs w:val="24"/>
        </w:rPr>
        <w:t xml:space="preserve"> проводится в соответствии                                               с СП 89.13330.2012</w:t>
      </w:r>
      <w:r w:rsidRPr="00E7450A">
        <w:rPr>
          <w:rStyle w:val="aff1"/>
          <w:rFonts w:ascii="Times New Roman" w:hAnsi="Times New Roman"/>
          <w:sz w:val="24"/>
          <w:szCs w:val="24"/>
        </w:rPr>
        <w:footnoteReference w:id="1"/>
      </w:r>
      <w:r w:rsidRPr="00E7450A">
        <w:rPr>
          <w:rFonts w:ascii="Times New Roman" w:hAnsi="Times New Roman"/>
          <w:sz w:val="24"/>
          <w:szCs w:val="24"/>
        </w:rPr>
        <w:t xml:space="preserve"> «Котельные установки».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котельной в д. Шапша                       в соответствии с утвержденной в установленном порядке проектной документацией              за счет собственных и (или) привлеченных Концессионером средств.</w:t>
      </w:r>
    </w:p>
    <w:p w:rsidR="00BE49A9" w:rsidRPr="00E7450A" w:rsidRDefault="00BE49A9" w:rsidP="007F5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Pr="00E7450A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7450A">
        <w:rPr>
          <w:rFonts w:ascii="Times New Roman" w:hAnsi="Times New Roman"/>
          <w:sz w:val="24"/>
          <w:szCs w:val="24"/>
        </w:rPr>
        <w:t xml:space="preserve"> период 2016 года.</w:t>
      </w:r>
    </w:p>
    <w:p w:rsidR="00BE49A9" w:rsidRPr="00E7450A" w:rsidRDefault="00BE49A9" w:rsidP="00E745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BE49A9" w:rsidP="00BE49A9">
      <w:pPr>
        <w:rPr>
          <w:sz w:val="24"/>
          <w:szCs w:val="24"/>
        </w:rPr>
      </w:pPr>
    </w:p>
    <w:p w:rsidR="00BE49A9" w:rsidRPr="00F4158B" w:rsidRDefault="00D2190A" w:rsidP="00BE49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margin-left:-6.05pt;margin-top:8.8pt;width:180pt;height:7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" strokecolor="white [3212]"/>
        </w:pic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 w:rsidR="00A876BA"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2E0C4E" w:rsidRDefault="00BE49A9" w:rsidP="002E0C4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 w:rsidR="002E0C4E"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BE49A9" w:rsidRPr="00A876BA" w:rsidRDefault="00BE49A9" w:rsidP="00A876BA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BE49A9" w:rsidRPr="00A876BA" w:rsidRDefault="00BE49A9" w:rsidP="00A876BA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>Плановые значения показателей деятельности концессионера                                по реконструкции объектов концессионного соглашения устанавливаются                             в целях: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уменьшения затрат, связанных с выработкой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повышения эффективности производства тепловой энергии;</w:t>
      </w:r>
    </w:p>
    <w:p w:rsidR="00BE49A9" w:rsidRPr="00A876BA" w:rsidRDefault="00161D0A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уменьшения себестоимости</w:t>
      </w:r>
      <w:r w:rsidR="00BE49A9" w:rsidRPr="00A876BA">
        <w:rPr>
          <w:rFonts w:ascii="Times New Roman" w:hAnsi="Times New Roman" w:cs="Times New Roman"/>
          <w:sz w:val="26"/>
          <w:szCs w:val="26"/>
        </w:rPr>
        <w:t xml:space="preserve"> продаваемой тепловой энергии потребителям.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</w:t>
      </w:r>
      <w:r w:rsidR="00A876BA">
        <w:rPr>
          <w:rFonts w:ascii="Times New Roman" w:hAnsi="Times New Roman" w:cs="Times New Roman"/>
          <w:sz w:val="26"/>
          <w:szCs w:val="26"/>
        </w:rPr>
        <w:t xml:space="preserve">, </w:t>
      </w:r>
      <w:r w:rsidRPr="00A876BA">
        <w:rPr>
          <w:rFonts w:ascii="Times New Roman" w:hAnsi="Times New Roman" w:cs="Times New Roman"/>
          <w:sz w:val="26"/>
          <w:szCs w:val="26"/>
        </w:rPr>
        <w:t>реконструкция                           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BE49A9" w:rsidRPr="00A876BA" w:rsidRDefault="00BE49A9" w:rsidP="00A876BA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876BA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BE49A9" w:rsidRPr="00A876BA" w:rsidRDefault="00BE49A9" w:rsidP="00A87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6BA">
        <w:rPr>
          <w:rFonts w:ascii="Times New Roman" w:hAnsi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969"/>
        <w:gridCol w:w="1608"/>
        <w:gridCol w:w="1659"/>
        <w:gridCol w:w="2487"/>
      </w:tblGrid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BE49A9" w:rsidRPr="00A876BA" w:rsidTr="00BE49A9">
        <w:tc>
          <w:tcPr>
            <w:tcW w:w="541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9A9" w:rsidRPr="00A876BA" w:rsidTr="00BE49A9">
        <w:tc>
          <w:tcPr>
            <w:tcW w:w="9264" w:type="dxa"/>
            <w:gridSpan w:val="5"/>
          </w:tcPr>
          <w:p w:rsidR="00BE49A9" w:rsidRPr="00A876BA" w:rsidRDefault="00BE49A9" w:rsidP="00A87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Югра, Ханты-Мансийский район,              д. Шапша, ул. 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бъем полезного отпуска тепловой энергии (мощности) и (или) теплоносителя в году, предшествующем первому году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а также 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 объема полезного отпуска тепловой энергии (мощности) и (или) теплоносителя, на срок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3,576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B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876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A876BA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162,61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еличина неподконтрольных расходов,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6BA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</w:t>
            </w:r>
            <w:proofErr w:type="gramEnd"/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энергетические ресурсы, концессионной платы и налога на прибыль организаций)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>дельный расход воды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A876BA" w:rsidTr="00BE49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A876BA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9A9" w:rsidRPr="00A876BA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 xml:space="preserve">в результате технологических нарушений на источниках тепловой энергии </w:t>
            </w:r>
          </w:p>
          <w:p w:rsidR="00BE49A9" w:rsidRPr="00A876BA" w:rsidRDefault="00BE49A9" w:rsidP="00A8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на 1 Гкал/час установленной мощности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A9" w:rsidRPr="00A876BA" w:rsidRDefault="00BE49A9" w:rsidP="00A8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E49A9" w:rsidRPr="00A876BA" w:rsidRDefault="00BE49A9" w:rsidP="00A876BA">
      <w:pPr>
        <w:spacing w:line="240" w:lineRule="auto"/>
        <w:ind w:firstLine="709"/>
        <w:jc w:val="both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Срок достижения минимально допустимых плановых значений показателей деятельности Концессионера – 31.12.2016.</w:t>
      </w:r>
    </w:p>
    <w:p w:rsidR="00BE49A9" w:rsidRPr="00A876BA" w:rsidRDefault="00BE49A9" w:rsidP="00A876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9A9" w:rsidRPr="00A876BA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E49A9" w:rsidRDefault="00BE49A9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A27E2E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467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16"/>
        <w:gridCol w:w="426"/>
        <w:gridCol w:w="435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P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5 </w:t>
            </w:r>
          </w:p>
          <w:p w:rsidR="00A27E2E" w:rsidRDefault="00A27E2E" w:rsidP="00A27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6B0D54" w:rsidRDefault="006B0D54" w:rsidP="006B0D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876BA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2E0C4E" w:rsidRPr="00A27E2E" w:rsidRDefault="002E0C4E" w:rsidP="00AA02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27E2E" w:rsidRPr="00A27E2E" w:rsidTr="00A27E2E">
        <w:trPr>
          <w:trHeight w:val="20"/>
          <w:jc w:val="center"/>
        </w:trPr>
        <w:tc>
          <w:tcPr>
            <w:tcW w:w="14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right="-297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(без учета НДС)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30A58" w:rsidRPr="00A27E2E" w:rsidTr="00B30A58">
        <w:trPr>
          <w:trHeight w:val="20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B30A58">
            <w:pPr>
              <w:spacing w:after="0" w:line="240" w:lineRule="auto"/>
              <w:ind w:right="-27" w:hanging="54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Ед. изм.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2015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B30A58" w:rsidRPr="00A27E2E" w:rsidTr="00B30A58">
        <w:trPr>
          <w:trHeight w:val="518"/>
          <w:jc w:val="center"/>
        </w:trPr>
        <w:tc>
          <w:tcPr>
            <w:tcW w:w="763" w:type="dxa"/>
            <w:gridSpan w:val="2"/>
            <w:shd w:val="clear" w:color="auto" w:fill="auto"/>
            <w:noWrap/>
            <w:hideMark/>
          </w:tcPr>
          <w:p w:rsidR="00A27E2E" w:rsidRPr="00A27E2E" w:rsidRDefault="00A27E2E" w:rsidP="00B30A58">
            <w:pPr>
              <w:spacing w:after="0" w:line="240" w:lineRule="auto"/>
              <w:ind w:left="-54" w:right="-26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Теплоснабжение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руб</w:t>
            </w:r>
            <w:proofErr w:type="spellEnd"/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/Гкал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2 263,26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2 433,00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2 603,31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2 780,34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2 969,40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3 171,32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3 386,97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3 617,28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3 863,26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4 125,96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4 406,53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4 706,17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5 026,19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5 367,97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5 732,99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6 122,83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6 539,18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6 983,84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7 458,74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7 965,93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8 507,61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9 086,13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9 703,99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10 363,86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11 068,60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11 821,26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12 625,11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13 483,62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14 400,51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15 379,74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27E2E" w:rsidRPr="00A27E2E" w:rsidRDefault="00A27E2E" w:rsidP="00A2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A27E2E">
              <w:rPr>
                <w:rFonts w:ascii="Times New Roman" w:hAnsi="Times New Roman"/>
                <w:color w:val="000000"/>
                <w:sz w:val="10"/>
                <w:szCs w:val="10"/>
              </w:rPr>
              <w:t>16 425,56</w:t>
            </w:r>
          </w:p>
        </w:tc>
      </w:tr>
    </w:tbl>
    <w:p w:rsidR="00A27E2E" w:rsidRDefault="00A27E2E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14848" w:type="dxa"/>
        <w:tblLayout w:type="fixed"/>
        <w:tblLook w:val="04A0"/>
      </w:tblPr>
      <w:tblGrid>
        <w:gridCol w:w="434"/>
        <w:gridCol w:w="950"/>
        <w:gridCol w:w="397"/>
        <w:gridCol w:w="45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B3895" w:rsidRPr="0095538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895" w:rsidRPr="0092287B" w:rsidRDefault="000B3895" w:rsidP="002556BF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Приложение 6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0B3895" w:rsidRDefault="000B3895" w:rsidP="002556B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6B0D54" w:rsidRDefault="006B0D54" w:rsidP="006B0D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A876BA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2E0C4E" w:rsidRPr="0026259C" w:rsidRDefault="002E0C4E" w:rsidP="00AA02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B3895" w:rsidRPr="0095538A" w:rsidTr="002556BF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</w:tcBorders>
            <w:hideMark/>
          </w:tcPr>
          <w:p w:rsidR="000B3895" w:rsidRPr="00080572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 xml:space="preserve">Сведения о ценах, значениях и параметрах, в соответствии с пунктами 4, 5, 7, 8, </w:t>
            </w:r>
          </w:p>
          <w:p w:rsidR="000B3895" w:rsidRPr="00080572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72">
              <w:rPr>
                <w:rFonts w:ascii="Times New Roman" w:hAnsi="Times New Roman"/>
                <w:sz w:val="16"/>
                <w:szCs w:val="16"/>
              </w:rPr>
              <w:t>9, 10, 11 части 1.2 статьи 23 Закона о концессионных соглашениях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DD75B5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D75B5">
              <w:rPr>
                <w:rFonts w:ascii="Times New Roman" w:hAnsi="Times New Roman"/>
                <w:sz w:val="8"/>
                <w:szCs w:val="8"/>
              </w:rPr>
              <w:t>под-пункт</w:t>
            </w:r>
            <w:proofErr w:type="gramEnd"/>
            <w:r w:rsidRPr="00DD75B5">
              <w:rPr>
                <w:rFonts w:ascii="Times New Roman" w:hAnsi="Times New Roman"/>
                <w:sz w:val="8"/>
                <w:szCs w:val="8"/>
              </w:rPr>
              <w:t xml:space="preserve"> части 1.2 статьи 23 Закона № 115-ФЗ</w:t>
            </w:r>
          </w:p>
        </w:tc>
        <w:tc>
          <w:tcPr>
            <w:tcW w:w="95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397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 изм.</w:t>
            </w:r>
          </w:p>
        </w:tc>
        <w:tc>
          <w:tcPr>
            <w:tcW w:w="13067" w:type="dxa"/>
            <w:gridSpan w:val="31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Сведения о ценах, значениях и параметрах в период с 2015 года по 2045 год</w:t>
            </w:r>
          </w:p>
        </w:tc>
      </w:tr>
      <w:tr w:rsidR="000B3895" w:rsidRPr="0026259C" w:rsidTr="002556BF">
        <w:trPr>
          <w:trHeight w:val="115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2015 план (тариф)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2016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2017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2018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2019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2020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2021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2022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2023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2024</w:t>
            </w:r>
          </w:p>
        </w:tc>
        <w:tc>
          <w:tcPr>
            <w:tcW w:w="421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2025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2027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2028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2029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2030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2031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2032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2033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2034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2035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2037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2038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2039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2040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2041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2042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2043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2044</w:t>
            </w:r>
          </w:p>
        </w:tc>
        <w:tc>
          <w:tcPr>
            <w:tcW w:w="42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2045</w:t>
            </w:r>
          </w:p>
        </w:tc>
      </w:tr>
      <w:tr w:rsidR="000B3895" w:rsidRPr="0026259C" w:rsidTr="002556BF">
        <w:trPr>
          <w:trHeight w:val="115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7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1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1.</w:t>
            </w: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ч. 1.4 </w:t>
            </w:r>
            <w:proofErr w:type="spellStart"/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ст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23 Закона № 115-ФЗ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показатели надежности объектов теплоснабжения в соответс</w:t>
            </w:r>
            <w:r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5 раздела I ПП РФ от 16.05.2014 №452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1.1) количество прекращений подачи тепловой энергии, теплоносителя в результате технологических нарушений на тепловых сетях на 1 км тепловых сетей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а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)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1.2)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. б)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ед.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2) показатели энергетической эффективности объектов теплоснабжения в соответс</w:t>
            </w:r>
            <w:r>
              <w:rPr>
                <w:rFonts w:ascii="Times New Roman" w:hAnsi="Times New Roman"/>
                <w:sz w:val="10"/>
                <w:szCs w:val="10"/>
              </w:rPr>
              <w:t>т</w:t>
            </w:r>
            <w:r w:rsidRPr="0086711C">
              <w:rPr>
                <w:rFonts w:ascii="Times New Roman" w:hAnsi="Times New Roman"/>
                <w:sz w:val="10"/>
                <w:szCs w:val="10"/>
              </w:rPr>
              <w:t>вии с п. 6 раздела I ПП РФ от 16.05.2014 № 452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2.1) 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а)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для котельных на газе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159,08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2.2) отношение величины технологических потерь тепловой энергии, теплоносителя к материальной характеристике тепловой сети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.б</w:t>
            </w:r>
            <w:proofErr w:type="spellEnd"/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)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Гкал/м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2</w:t>
            </w:r>
            <w:proofErr w:type="gramEnd"/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величина технологических потерь при передаче тепловой энергии, теплоносителя по тепловым сетям (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пп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 в)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t>2.</w:t>
            </w: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объем полезного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отпуска тепловой энергии (мощности) и (или) теплоносителя в 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Г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3,57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6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lastRenderedPageBreak/>
              <w:t>3.</w:t>
            </w: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3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цены на газ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руб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/1000 м.3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4 991,0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5 365,3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5 757,0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6 136,9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6 542,0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6 973,7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7 434,0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7 924,7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8 447,7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9 005,2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9 599,6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10 233,2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10 908,5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11 628,5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12 396,0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13 214,1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14 086,3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15 015,9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16 007,0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17 063,5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18 189,6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19 390,2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20 669,9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22 034,1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23 488,4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25 038,6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26 691,2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28 452,8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30 330,7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32 332,5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34 466,4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107,3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106,6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электроэнергия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руб./кВтч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3,93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4,43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4,87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5,28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5,73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6,22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6,75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7,32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7,95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8,62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9,35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10,15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11,01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11,95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12,96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14,07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15,26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16,56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17,97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19,49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21,15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22,95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24,90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27,01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29,31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31,80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34,51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37,44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40,62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44,07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47,82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108,5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вода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руб./м3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85,7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93,1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99,7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112,4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119,4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126,8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134,6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143,0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151,8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161,3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171,3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181,9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193,2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205,1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217,8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231,4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245,7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260,9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277,1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294,3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312,5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331,9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352,5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374,3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397,6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422,2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448,4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476,2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505,7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537,1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изменение цен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106,2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4.</w:t>
            </w: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технологические потери тепловой энергии в сети</w:t>
            </w:r>
          </w:p>
        </w:tc>
        <w:tc>
          <w:tcPr>
            <w:tcW w:w="397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тыс. 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0,397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кВтч./ 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удельный расход воды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5.</w:t>
            </w: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величина неподконтрольных расходов, (за исключением расходов на энергетические ресурсы, концессионной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платы и налога на прибыль организаций)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1 272,5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color w:val="7030A0"/>
                <w:sz w:val="10"/>
                <w:szCs w:val="10"/>
              </w:rPr>
              <w:lastRenderedPageBreak/>
              <w:t>6.</w:t>
            </w: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Предельные (минимальные и (или) максимальные) значения критериев конкурса, предусмотренных пунктами 2 - 5 части 2.3 статьи 24 настоящего Федерального закона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2 части 2.3 статьи 24 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расходов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создание и (или) реконструкцию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пункт 3 части 2.3 статьи 24  объем расходов, финансируемых за счет средств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концедента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t>концедентом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 xml:space="preserve"> на себя расходов на использование (эксплуатацию) данного объекта </w:t>
            </w:r>
            <w:r w:rsidRPr="0086711C">
              <w:rPr>
                <w:rFonts w:ascii="Times New Roman" w:hAnsi="Times New Roman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пункт 4 части 2.3 статьи 24 долгосрочные параметры регулирования деятельности концессионера в соответствии с частью 2.4  статьи 24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1) базовый уровень операционных расходов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тыс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.р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уб.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3 290,84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2) показатели энергосбережения и энергетической эффективности, в том числе: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 xml:space="preserve">2.1) удельный расход топлива на производство единицы тепловой энергии, отпускаемой с коллекторов </w:t>
            </w:r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источников тепловой энергии (газ)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6711C">
              <w:rPr>
                <w:rFonts w:ascii="Times New Roman" w:hAnsi="Times New Roman"/>
                <w:sz w:val="10"/>
                <w:szCs w:val="10"/>
              </w:rPr>
              <w:lastRenderedPageBreak/>
              <w:t>кг</w:t>
            </w:r>
            <w:proofErr w:type="gramStart"/>
            <w:r w:rsidRPr="0086711C">
              <w:rPr>
                <w:rFonts w:ascii="Times New Roman" w:hAnsi="Times New Roman"/>
                <w:sz w:val="10"/>
                <w:szCs w:val="10"/>
              </w:rPr>
              <w:t>.у</w:t>
            </w:r>
            <w:proofErr w:type="gramEnd"/>
            <w:r w:rsidRPr="0086711C">
              <w:rPr>
                <w:rFonts w:ascii="Times New Roman" w:hAnsi="Times New Roman"/>
                <w:sz w:val="10"/>
                <w:szCs w:val="10"/>
              </w:rPr>
              <w:t>.т</w:t>
            </w:r>
            <w:proofErr w:type="spellEnd"/>
            <w:r w:rsidRPr="0086711C">
              <w:rPr>
                <w:rFonts w:ascii="Times New Roman" w:hAnsi="Times New Roman"/>
                <w:sz w:val="10"/>
                <w:szCs w:val="10"/>
              </w:rPr>
              <w:t>./ 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162,61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2.2) удельный расход электрической энергии на выработку и передачу тепловой энергии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кВтч./ 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28,00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2.3) удельный расход воды на выработку и передачу  тепловой энергии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м3/Гкал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2.4) потери в сетях (к отпуску тепловой энергии от источника тепловой энергии)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1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  <w:tc>
          <w:tcPr>
            <w:tcW w:w="420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9,99</w:t>
            </w:r>
          </w:p>
        </w:tc>
      </w:tr>
      <w:tr w:rsidR="000B3895" w:rsidRPr="0026259C" w:rsidTr="002556BF">
        <w:trPr>
          <w:trHeight w:val="276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3) нормативный уровень прибыли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0,51</w:t>
            </w:r>
          </w:p>
        </w:tc>
        <w:tc>
          <w:tcPr>
            <w:tcW w:w="12610" w:type="dxa"/>
            <w:gridSpan w:val="30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0,5-10,17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7.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х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107,94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107,28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106,91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 w:val="restart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8.</w:t>
            </w:r>
          </w:p>
        </w:tc>
        <w:tc>
          <w:tcPr>
            <w:tcW w:w="14414" w:type="dxa"/>
            <w:gridSpan w:val="33"/>
            <w:hideMark/>
          </w:tcPr>
          <w:p w:rsidR="000B3895" w:rsidRPr="0086711C" w:rsidRDefault="000B3895" w:rsidP="002556B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изменения тарифа на тепловую энергию с 01.07.20хх</w:t>
            </w:r>
          </w:p>
        </w:tc>
        <w:tc>
          <w:tcPr>
            <w:tcW w:w="397" w:type="dxa"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108,30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107,50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1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  <w:tc>
          <w:tcPr>
            <w:tcW w:w="420" w:type="dxa"/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106,80</w:t>
            </w:r>
          </w:p>
        </w:tc>
      </w:tr>
      <w:tr w:rsidR="000B3895" w:rsidRPr="0026259C" w:rsidTr="002556BF">
        <w:trPr>
          <w:trHeight w:val="20"/>
        </w:trPr>
        <w:tc>
          <w:tcPr>
            <w:tcW w:w="434" w:type="dxa"/>
            <w:vMerge/>
            <w:tcBorders>
              <w:bottom w:val="single" w:sz="4" w:space="0" w:color="auto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Индекс потребительских цен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%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106,70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107,00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106,50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0B3895" w:rsidRPr="0086711C" w:rsidRDefault="000B3895" w:rsidP="002556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6711C">
              <w:rPr>
                <w:rFonts w:ascii="Times New Roman" w:hAnsi="Times New Roman"/>
                <w:sz w:val="10"/>
                <w:szCs w:val="10"/>
              </w:rPr>
              <w:t>105,50</w:t>
            </w:r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895" w:rsidRPr="006E4AEA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Показатели устанавливаются на срок действия инвестиционной программы. По состоянию на 23.09.2015 в РСТ Югры не поступало утвержденной в установленном порядке инвестиционной программы, предусматривающей создание и (или) реконструкцию объектов концессионного соглашения.</w:t>
            </w:r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B3895" w:rsidRPr="006E4AEA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В схеме теплоснабжения, утвержденной постановлением администрации  Ханты-Мансийского района от 09.07.2014 № 168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перспективное потребление тепловой энергии в Гкал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4AEA">
              <w:rPr>
                <w:rFonts w:ascii="Times New Roman" w:hAnsi="Times New Roman"/>
                <w:sz w:val="24"/>
                <w:szCs w:val="24"/>
              </w:rPr>
              <w:t xml:space="preserve">тсутствует. Объем полезного отпуска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тепловой энергии на период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2045 гг. учтен на уровне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 предусмотренном в тарифе 2015 года.</w:t>
            </w:r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B3895" w:rsidRPr="00080572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На энергетические ресур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 на 2015 год указаны плановые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цены в рамках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ленного тарифа, показатели 2016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2045 гг.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lastRenderedPageBreak/>
              <w:t>рассчитаны на основании сценарных условий, 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2016 год и на плановый период 2017 и 2018 годов, разработанных Минэкономразвития России и одобренных Правительством Российской Федерации 23.04.2015.</w:t>
            </w:r>
            <w:proofErr w:type="gramEnd"/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B3895" w:rsidRPr="00080572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AEA">
              <w:rPr>
                <w:rFonts w:ascii="Times New Roman" w:hAnsi="Times New Roman"/>
                <w:sz w:val="24"/>
                <w:szCs w:val="24"/>
              </w:rPr>
              <w:t>Расчет удельного расхода топлива на производство единицы тепловой энергии, отпускаемой с коллекторов источников тепловой энергии произведен с учетом КПД: 92% - котельные на газе, нормативной доли расхода теплоты на собственные нужды котельной (максимально возможные показатели согласно методическим указаниям по определению расходов топлива, электроэнергии и воды на выработку теплоты отопительными котельными коммунальных теплоэнергетических предприятий, утвержденным ГУП Академия Коммунального Хозяйс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им. К.Д.Памфилова): 2,39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котельные на газе.</w:t>
            </w:r>
            <w:proofErr w:type="gramEnd"/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B3895" w:rsidRPr="00080572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2015 год принят в качестве года предшествующего первому году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онцессион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ого соглашения.</w:t>
            </w:r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B3895" w:rsidRPr="00080572" w:rsidRDefault="000B3895" w:rsidP="002556BF">
            <w:pPr>
              <w:pStyle w:val="afa"/>
              <w:numPr>
                <w:ilvl w:val="0"/>
                <w:numId w:val="7"/>
              </w:numPr>
              <w:tabs>
                <w:tab w:val="left" w:pos="993"/>
                <w:tab w:val="left" w:pos="1680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080572">
              <w:rPr>
                <w:sz w:val="24"/>
                <w:szCs w:val="24"/>
              </w:rPr>
              <w:t xml:space="preserve">Отражена информация согласно заявлению Департамента строительства, архитектуры и ЖКХ Ханты-Мансийского района </w:t>
            </w:r>
            <w:r>
              <w:rPr>
                <w:sz w:val="24"/>
                <w:szCs w:val="24"/>
              </w:rPr>
              <w:br/>
            </w:r>
            <w:r w:rsidRPr="00080572">
              <w:rPr>
                <w:sz w:val="24"/>
                <w:szCs w:val="24"/>
              </w:rPr>
              <w:t>исх. №</w:t>
            </w:r>
            <w:r>
              <w:rPr>
                <w:sz w:val="24"/>
                <w:szCs w:val="24"/>
              </w:rPr>
              <w:t xml:space="preserve"> </w:t>
            </w:r>
            <w:r w:rsidRPr="00080572">
              <w:rPr>
                <w:sz w:val="24"/>
                <w:szCs w:val="24"/>
              </w:rPr>
              <w:t>5165/15 от 18.09.2015.</w:t>
            </w:r>
          </w:p>
        </w:tc>
      </w:tr>
      <w:tr w:rsidR="000B3895" w:rsidRPr="006E4AEA" w:rsidTr="002556BF">
        <w:trPr>
          <w:trHeight w:val="20"/>
        </w:trPr>
        <w:tc>
          <w:tcPr>
            <w:tcW w:w="1484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3895" w:rsidRPr="006E4AEA" w:rsidRDefault="000B3895" w:rsidP="002556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4AEA">
              <w:rPr>
                <w:rFonts w:ascii="Times New Roman" w:hAnsi="Times New Roman"/>
                <w:sz w:val="24"/>
                <w:szCs w:val="24"/>
              </w:rPr>
              <w:t xml:space="preserve">Информационно: по ч. 2.3, </w:t>
            </w:r>
            <w:proofErr w:type="spellStart"/>
            <w:r w:rsidRPr="006E4AE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4AEA">
              <w:rPr>
                <w:rFonts w:ascii="Times New Roman" w:hAnsi="Times New Roman"/>
                <w:sz w:val="24"/>
                <w:szCs w:val="24"/>
              </w:rPr>
              <w:t>. 2,  п. 1,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ч. 2.1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proofErr w:type="spellStart"/>
            <w:r w:rsidRPr="006E4AE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E4A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п. 6 информация на 2015 – 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 xml:space="preserve">2045 гг. указана исходя из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4AEA">
              <w:rPr>
                <w:rFonts w:ascii="Times New Roman" w:hAnsi="Times New Roman"/>
                <w:sz w:val="24"/>
                <w:szCs w:val="24"/>
              </w:rPr>
              <w:t>на 2015 год тарифа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тепловую энергию для МП «ЖЭК-3»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. По состоянию на 23.09.2015 информация об актуализации схемы теплоснабжения, программа инвестиционного развития  Ханты-Мансийского района в РСТ Югры отсут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6E4AEA">
              <w:rPr>
                <w:rFonts w:ascii="Times New Roman" w:hAnsi="Times New Roman"/>
                <w:sz w:val="24"/>
                <w:szCs w:val="24"/>
              </w:rPr>
              <w:t>вует.</w:t>
            </w:r>
          </w:p>
        </w:tc>
      </w:tr>
    </w:tbl>
    <w:p w:rsidR="00161D0A" w:rsidRDefault="00161D0A" w:rsidP="00A876BA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61D0A" w:rsidSect="00A27E2E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44" w:rsidRDefault="00C60344" w:rsidP="000C31C6">
      <w:pPr>
        <w:spacing w:after="0" w:line="240" w:lineRule="auto"/>
      </w:pPr>
      <w:r>
        <w:separator/>
      </w:r>
    </w:p>
  </w:endnote>
  <w:endnote w:type="continuationSeparator" w:id="0">
    <w:p w:rsidR="00C60344" w:rsidRDefault="00C60344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44" w:rsidRDefault="00C60344" w:rsidP="000C31C6">
      <w:pPr>
        <w:spacing w:after="0" w:line="240" w:lineRule="auto"/>
      </w:pPr>
      <w:r>
        <w:separator/>
      </w:r>
    </w:p>
  </w:footnote>
  <w:footnote w:type="continuationSeparator" w:id="0">
    <w:p w:rsidR="00C60344" w:rsidRDefault="00C60344" w:rsidP="000C31C6">
      <w:pPr>
        <w:spacing w:after="0" w:line="240" w:lineRule="auto"/>
      </w:pPr>
      <w:r>
        <w:continuationSeparator/>
      </w:r>
    </w:p>
  </w:footnote>
  <w:footnote w:id="1">
    <w:p w:rsidR="000F087A" w:rsidRPr="00FF4661" w:rsidRDefault="000F087A" w:rsidP="00BE49A9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2B3CFD" w:rsidRDefault="00D2190A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E1098">
          <w:rPr>
            <w:noProof/>
          </w:rPr>
          <w:t>92</w:t>
        </w:r>
        <w:r>
          <w:fldChar w:fldCharType="end"/>
        </w:r>
      </w:p>
    </w:sdtContent>
  </w:sdt>
  <w:p w:rsidR="000F087A" w:rsidRPr="000F087A" w:rsidRDefault="000F087A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2B3CFD" w:rsidRDefault="00D2190A">
        <w:pPr>
          <w:pStyle w:val="ab"/>
          <w:jc w:val="center"/>
        </w:pPr>
        <w:r>
          <w:fldChar w:fldCharType="begin"/>
        </w:r>
        <w:r w:rsidR="002B3CFD">
          <w:instrText>PAGE   \* MERGEFORMAT</w:instrText>
        </w:r>
        <w:r>
          <w:fldChar w:fldCharType="separate"/>
        </w:r>
        <w:r w:rsidR="003E1098">
          <w:rPr>
            <w:noProof/>
          </w:rPr>
          <w:t>62</w:t>
        </w:r>
        <w:r>
          <w:fldChar w:fldCharType="end"/>
        </w:r>
      </w:p>
    </w:sdtContent>
  </w:sdt>
  <w:p w:rsidR="000F087A" w:rsidRDefault="000F087A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2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8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4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0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3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2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4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5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25"/>
  </w:num>
  <w:num w:numId="6">
    <w:abstractNumId w:val="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5"/>
  </w:num>
  <w:num w:numId="12">
    <w:abstractNumId w:val="32"/>
  </w:num>
  <w:num w:numId="13">
    <w:abstractNumId w:val="10"/>
  </w:num>
  <w:num w:numId="14">
    <w:abstractNumId w:val="14"/>
  </w:num>
  <w:num w:numId="15">
    <w:abstractNumId w:val="13"/>
  </w:num>
  <w:num w:numId="16">
    <w:abstractNumId w:val="33"/>
  </w:num>
  <w:num w:numId="17">
    <w:abstractNumId w:val="22"/>
  </w:num>
  <w:num w:numId="18">
    <w:abstractNumId w:val="7"/>
  </w:num>
  <w:num w:numId="19">
    <w:abstractNumId w:val="2"/>
  </w:num>
  <w:num w:numId="20">
    <w:abstractNumId w:val="31"/>
  </w:num>
  <w:num w:numId="21">
    <w:abstractNumId w:val="27"/>
  </w:num>
  <w:num w:numId="22">
    <w:abstractNumId w:val="34"/>
  </w:num>
  <w:num w:numId="23">
    <w:abstractNumId w:val="23"/>
  </w:num>
  <w:num w:numId="24">
    <w:abstractNumId w:val="12"/>
  </w:num>
  <w:num w:numId="25">
    <w:abstractNumId w:val="8"/>
  </w:num>
  <w:num w:numId="26">
    <w:abstractNumId w:val="4"/>
  </w:num>
  <w:num w:numId="27">
    <w:abstractNumId w:val="0"/>
  </w:num>
  <w:num w:numId="28">
    <w:abstractNumId w:val="29"/>
  </w:num>
  <w:num w:numId="29">
    <w:abstractNumId w:val="21"/>
  </w:num>
  <w:num w:numId="30">
    <w:abstractNumId w:val="11"/>
  </w:num>
  <w:num w:numId="31">
    <w:abstractNumId w:val="26"/>
  </w:num>
  <w:num w:numId="32">
    <w:abstractNumId w:val="28"/>
  </w:num>
  <w:num w:numId="33">
    <w:abstractNumId w:val="1"/>
  </w:num>
  <w:num w:numId="34">
    <w:abstractNumId w:val="20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6CCA"/>
    <w:rsid w:val="00006F7B"/>
    <w:rsid w:val="00015484"/>
    <w:rsid w:val="00020F67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5698"/>
    <w:rsid w:val="0009656E"/>
    <w:rsid w:val="00096905"/>
    <w:rsid w:val="000A0EF4"/>
    <w:rsid w:val="000A236C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7E0A"/>
    <w:rsid w:val="001022C1"/>
    <w:rsid w:val="00104D80"/>
    <w:rsid w:val="00107319"/>
    <w:rsid w:val="00110591"/>
    <w:rsid w:val="00115DCB"/>
    <w:rsid w:val="001173F7"/>
    <w:rsid w:val="00117B7A"/>
    <w:rsid w:val="00120867"/>
    <w:rsid w:val="0012497D"/>
    <w:rsid w:val="00130A82"/>
    <w:rsid w:val="00133C49"/>
    <w:rsid w:val="00135FC7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D1D"/>
    <w:rsid w:val="001E5F13"/>
    <w:rsid w:val="001F7D50"/>
    <w:rsid w:val="002003E0"/>
    <w:rsid w:val="002016A3"/>
    <w:rsid w:val="00201804"/>
    <w:rsid w:val="00202FB1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51530"/>
    <w:rsid w:val="00251AA5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43E40"/>
    <w:rsid w:val="00343EDB"/>
    <w:rsid w:val="00346098"/>
    <w:rsid w:val="0034688F"/>
    <w:rsid w:val="0034719B"/>
    <w:rsid w:val="00354DD9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6861"/>
    <w:rsid w:val="00396F42"/>
    <w:rsid w:val="003A576E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E1098"/>
    <w:rsid w:val="003E2A65"/>
    <w:rsid w:val="003E2CEC"/>
    <w:rsid w:val="003E5CCE"/>
    <w:rsid w:val="003E6438"/>
    <w:rsid w:val="003E7DAE"/>
    <w:rsid w:val="003F342D"/>
    <w:rsid w:val="003F4CBA"/>
    <w:rsid w:val="0040249A"/>
    <w:rsid w:val="00406097"/>
    <w:rsid w:val="00406878"/>
    <w:rsid w:val="00407D1C"/>
    <w:rsid w:val="00411647"/>
    <w:rsid w:val="004116DF"/>
    <w:rsid w:val="00420DE3"/>
    <w:rsid w:val="00421B93"/>
    <w:rsid w:val="0042621F"/>
    <w:rsid w:val="00431D68"/>
    <w:rsid w:val="00432AE9"/>
    <w:rsid w:val="00432FC7"/>
    <w:rsid w:val="0043559E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DDA"/>
    <w:rsid w:val="004A313E"/>
    <w:rsid w:val="004A76FA"/>
    <w:rsid w:val="004B068F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F6CB9"/>
    <w:rsid w:val="0050235B"/>
    <w:rsid w:val="00502FCE"/>
    <w:rsid w:val="00506DFD"/>
    <w:rsid w:val="00506F62"/>
    <w:rsid w:val="00507B83"/>
    <w:rsid w:val="00510782"/>
    <w:rsid w:val="0051177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540A"/>
    <w:rsid w:val="005E5F4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5DAC"/>
    <w:rsid w:val="006401F2"/>
    <w:rsid w:val="006449B9"/>
    <w:rsid w:val="00646561"/>
    <w:rsid w:val="006510CC"/>
    <w:rsid w:val="006517FC"/>
    <w:rsid w:val="00652298"/>
    <w:rsid w:val="00653788"/>
    <w:rsid w:val="00661E21"/>
    <w:rsid w:val="00666861"/>
    <w:rsid w:val="0067370F"/>
    <w:rsid w:val="006746EC"/>
    <w:rsid w:val="00674AF2"/>
    <w:rsid w:val="0067767D"/>
    <w:rsid w:val="006809C5"/>
    <w:rsid w:val="00680AA0"/>
    <w:rsid w:val="00684D0C"/>
    <w:rsid w:val="006858C6"/>
    <w:rsid w:val="006945D9"/>
    <w:rsid w:val="00696C03"/>
    <w:rsid w:val="006976CD"/>
    <w:rsid w:val="006A07FA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3D1F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E9D"/>
    <w:rsid w:val="00821726"/>
    <w:rsid w:val="008229A0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514A0"/>
    <w:rsid w:val="00851A5F"/>
    <w:rsid w:val="00852015"/>
    <w:rsid w:val="008524DA"/>
    <w:rsid w:val="008537B4"/>
    <w:rsid w:val="008571FC"/>
    <w:rsid w:val="0085730B"/>
    <w:rsid w:val="008575D8"/>
    <w:rsid w:val="008605F3"/>
    <w:rsid w:val="00860F42"/>
    <w:rsid w:val="00864457"/>
    <w:rsid w:val="0086711C"/>
    <w:rsid w:val="00867148"/>
    <w:rsid w:val="00870C87"/>
    <w:rsid w:val="00871487"/>
    <w:rsid w:val="0087183E"/>
    <w:rsid w:val="00872D9E"/>
    <w:rsid w:val="0087506E"/>
    <w:rsid w:val="008758AA"/>
    <w:rsid w:val="00875D33"/>
    <w:rsid w:val="00875F4D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737A"/>
    <w:rsid w:val="0090005D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24E0"/>
    <w:rsid w:val="00A359CD"/>
    <w:rsid w:val="00A4019B"/>
    <w:rsid w:val="00A40C31"/>
    <w:rsid w:val="00A40D90"/>
    <w:rsid w:val="00A4117F"/>
    <w:rsid w:val="00A4398C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47D2"/>
    <w:rsid w:val="00AC29E5"/>
    <w:rsid w:val="00AC4A97"/>
    <w:rsid w:val="00AC4B70"/>
    <w:rsid w:val="00AC59E1"/>
    <w:rsid w:val="00AD025D"/>
    <w:rsid w:val="00AD16DA"/>
    <w:rsid w:val="00AD38C2"/>
    <w:rsid w:val="00AD3E06"/>
    <w:rsid w:val="00AD583E"/>
    <w:rsid w:val="00AE67AE"/>
    <w:rsid w:val="00AE76DE"/>
    <w:rsid w:val="00AF035D"/>
    <w:rsid w:val="00AF6ED3"/>
    <w:rsid w:val="00B04A7A"/>
    <w:rsid w:val="00B100FA"/>
    <w:rsid w:val="00B1216B"/>
    <w:rsid w:val="00B12E74"/>
    <w:rsid w:val="00B14359"/>
    <w:rsid w:val="00B1483A"/>
    <w:rsid w:val="00B229F5"/>
    <w:rsid w:val="00B246EB"/>
    <w:rsid w:val="00B25820"/>
    <w:rsid w:val="00B30A58"/>
    <w:rsid w:val="00B30DA4"/>
    <w:rsid w:val="00B32BF0"/>
    <w:rsid w:val="00B366B7"/>
    <w:rsid w:val="00B414ED"/>
    <w:rsid w:val="00B42047"/>
    <w:rsid w:val="00B43C94"/>
    <w:rsid w:val="00B50C1B"/>
    <w:rsid w:val="00B5318A"/>
    <w:rsid w:val="00B54FD8"/>
    <w:rsid w:val="00B604ED"/>
    <w:rsid w:val="00B60918"/>
    <w:rsid w:val="00B62FEE"/>
    <w:rsid w:val="00B65318"/>
    <w:rsid w:val="00B65F82"/>
    <w:rsid w:val="00B71B6C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6863"/>
    <w:rsid w:val="00BB6C44"/>
    <w:rsid w:val="00BB75CD"/>
    <w:rsid w:val="00BB7EC4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5B91"/>
    <w:rsid w:val="00C1015B"/>
    <w:rsid w:val="00C10F5B"/>
    <w:rsid w:val="00C11ABD"/>
    <w:rsid w:val="00C11C68"/>
    <w:rsid w:val="00C15AB6"/>
    <w:rsid w:val="00C2214B"/>
    <w:rsid w:val="00C24632"/>
    <w:rsid w:val="00C250E6"/>
    <w:rsid w:val="00C255CB"/>
    <w:rsid w:val="00C25E9D"/>
    <w:rsid w:val="00C32C96"/>
    <w:rsid w:val="00C352ED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0344"/>
    <w:rsid w:val="00C65D31"/>
    <w:rsid w:val="00C65F7D"/>
    <w:rsid w:val="00C67807"/>
    <w:rsid w:val="00C7085E"/>
    <w:rsid w:val="00C734AC"/>
    <w:rsid w:val="00C73D48"/>
    <w:rsid w:val="00C777D3"/>
    <w:rsid w:val="00C81978"/>
    <w:rsid w:val="00C822E3"/>
    <w:rsid w:val="00C84BAC"/>
    <w:rsid w:val="00C86989"/>
    <w:rsid w:val="00C90A8F"/>
    <w:rsid w:val="00C91397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190A"/>
    <w:rsid w:val="00D23363"/>
    <w:rsid w:val="00D26C46"/>
    <w:rsid w:val="00D33D95"/>
    <w:rsid w:val="00D40772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313"/>
    <w:rsid w:val="00D940E7"/>
    <w:rsid w:val="00D97134"/>
    <w:rsid w:val="00D9744B"/>
    <w:rsid w:val="00D97C08"/>
    <w:rsid w:val="00D97D5F"/>
    <w:rsid w:val="00DA703B"/>
    <w:rsid w:val="00DB0AC4"/>
    <w:rsid w:val="00DC2B18"/>
    <w:rsid w:val="00DC4197"/>
    <w:rsid w:val="00DC5DA1"/>
    <w:rsid w:val="00DC64E5"/>
    <w:rsid w:val="00DD059F"/>
    <w:rsid w:val="00DD1410"/>
    <w:rsid w:val="00DD156C"/>
    <w:rsid w:val="00DD4F88"/>
    <w:rsid w:val="00DD75B5"/>
    <w:rsid w:val="00DD7C83"/>
    <w:rsid w:val="00DE00FF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6821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AFF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653E"/>
    <w:rsid w:val="00F7116A"/>
    <w:rsid w:val="00F722DC"/>
    <w:rsid w:val="00F75BD6"/>
    <w:rsid w:val="00F77383"/>
    <w:rsid w:val="00F90F41"/>
    <w:rsid w:val="00F92799"/>
    <w:rsid w:val="00F9445C"/>
    <w:rsid w:val="00F94D7D"/>
    <w:rsid w:val="00F96032"/>
    <w:rsid w:val="00FA06DD"/>
    <w:rsid w:val="00FA7817"/>
    <w:rsid w:val="00FB7037"/>
    <w:rsid w:val="00FB7239"/>
    <w:rsid w:val="00FC0338"/>
    <w:rsid w:val="00FC1C63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47AD332C0A26027EF5C1E713C7A0AD13E84199054DC08213FFEF6737D67BA3ECAF9C7907C441TERAG" TargetMode="External"/><Relationship Id="rId13" Type="http://schemas.openxmlformats.org/officeDocument/2006/relationships/hyperlink" Target="consultantplus://offline/ref=09C747AD332C0A26027EF5C1E713C7A0AD13E04390004DC08213FFEF6737D67BA3ECAF9C7907C140TER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47AD332C0A26027EF5C1E713C7A0AD13E04390004DC08213FFEF6737D67BA3ECAFT9REG" TargetMode="External"/><Relationship Id="rId17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47AD332C0A26027EF5C1E713C7A0AD13E04390004DC08213FFEF6737D67BA3ECAF9C7907C142TER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0C533D7E1E77906148F001C659F0122CE79152B91F7679E6C6BASCnAG" TargetMode="External"/><Relationship Id="rId10" Type="http://schemas.openxmlformats.org/officeDocument/2006/relationships/hyperlink" Target="consultantplus://offline/ref=09C747AD332C0A26027EF5C1E713C7A0AD13E04390004DC08213FFEF6737D67BA3ECAF9C7907C544TER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47AD332C0A26027EF5C1E713C7A0AD13E04390004DC08213FFEF6737D67BA3ECAF9C7907C545TERBG" TargetMode="External"/><Relationship Id="rId14" Type="http://schemas.openxmlformats.org/officeDocument/2006/relationships/hyperlink" Target="consultantplus://offline/ref=09C747AD332C0A26027EF5C1E713C7A0AD13E04390004DC08213FFEF6737D67BA3ECAF9C7907C049TE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BCC3-59F5-41CE-8691-551D019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11918</Words>
  <Characters>67934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79693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3</cp:revision>
  <cp:lastPrinted>2015-11-25T12:29:00Z</cp:lastPrinted>
  <dcterms:created xsi:type="dcterms:W3CDTF">2015-11-26T06:24:00Z</dcterms:created>
  <dcterms:modified xsi:type="dcterms:W3CDTF">2015-11-26T06:26:00Z</dcterms:modified>
</cp:coreProperties>
</file>